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B3A9" w14:textId="27C0EF91" w:rsidR="00125E5F" w:rsidRDefault="000575C6">
      <w:pPr>
        <w:tabs>
          <w:tab w:val="right" w:pos="9360"/>
        </w:tabs>
        <w:rPr>
          <w:sz w:val="20"/>
          <w:szCs w:val="20"/>
        </w:rPr>
      </w:pPr>
      <w:r>
        <w:rPr>
          <w:rFonts w:cstheme="minorHAnsi"/>
          <w:noProof/>
        </w:rPr>
        <w:drawing>
          <wp:anchor distT="0" distB="0" distL="114300" distR="114300" simplePos="0" relativeHeight="251658240" behindDoc="1" locked="0" layoutInCell="1" allowOverlap="1" wp14:anchorId="3FE52D75" wp14:editId="4A1392EB">
            <wp:simplePos x="0" y="0"/>
            <wp:positionH relativeFrom="column">
              <wp:posOffset>-55245</wp:posOffset>
            </wp:positionH>
            <wp:positionV relativeFrom="paragraph">
              <wp:posOffset>-9698</wp:posOffset>
            </wp:positionV>
            <wp:extent cx="3369330" cy="1607128"/>
            <wp:effectExtent l="0" t="0" r="0" b="6350"/>
            <wp:wrapNone/>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A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9330" cy="1607128"/>
                    </a:xfrm>
                    <a:prstGeom prst="rect">
                      <a:avLst/>
                    </a:prstGeom>
                  </pic:spPr>
                </pic:pic>
              </a:graphicData>
            </a:graphic>
            <wp14:sizeRelH relativeFrom="page">
              <wp14:pctWidth>0</wp14:pctWidth>
            </wp14:sizeRelH>
            <wp14:sizeRelV relativeFrom="page">
              <wp14:pctHeight>0</wp14:pctHeight>
            </wp14:sizeRelV>
          </wp:anchor>
        </w:drawing>
      </w:r>
      <w:r w:rsidR="00107893">
        <w:rPr>
          <w:b/>
          <w:bCs/>
          <w:sz w:val="28"/>
          <w:szCs w:val="28"/>
        </w:rPr>
        <w:t xml:space="preserve">         </w:t>
      </w:r>
    </w:p>
    <w:p w14:paraId="2C2B2FBD" w14:textId="78EC9945" w:rsidR="00125E5F" w:rsidRDefault="00125E5F">
      <w:pPr>
        <w:rPr>
          <w:sz w:val="20"/>
          <w:szCs w:val="20"/>
        </w:rPr>
      </w:pPr>
    </w:p>
    <w:p w14:paraId="0FD33B3B" w14:textId="013CDD24" w:rsidR="00125E5F" w:rsidRDefault="00125E5F"/>
    <w:p w14:paraId="35940A8B" w14:textId="1050B6BE" w:rsidR="00BC3BB2" w:rsidRDefault="00BC3BB2">
      <w:pPr>
        <w:tabs>
          <w:tab w:val="left" w:pos="-1440"/>
        </w:tabs>
        <w:ind w:left="720" w:hanging="720"/>
      </w:pPr>
    </w:p>
    <w:p w14:paraId="0B65549C" w14:textId="77777777" w:rsidR="00B90A1D" w:rsidRDefault="00B90A1D">
      <w:pPr>
        <w:tabs>
          <w:tab w:val="left" w:pos="-1440"/>
        </w:tabs>
        <w:ind w:left="720" w:hanging="720"/>
      </w:pPr>
    </w:p>
    <w:p w14:paraId="496B9D8B" w14:textId="77777777" w:rsidR="001E7171" w:rsidRDefault="001E7171">
      <w:pPr>
        <w:tabs>
          <w:tab w:val="left" w:pos="-1440"/>
        </w:tabs>
        <w:ind w:left="720" w:hanging="720"/>
      </w:pPr>
    </w:p>
    <w:p w14:paraId="4087B22A" w14:textId="77777777" w:rsidR="001E7171" w:rsidRDefault="001E7171">
      <w:pPr>
        <w:tabs>
          <w:tab w:val="left" w:pos="-1440"/>
        </w:tabs>
        <w:ind w:left="720" w:hanging="720"/>
      </w:pPr>
    </w:p>
    <w:p w14:paraId="30CAD8D7" w14:textId="77777777" w:rsidR="00132DBA" w:rsidRDefault="00132DBA" w:rsidP="00C25AE6">
      <w:pPr>
        <w:tabs>
          <w:tab w:val="center" w:pos="4680"/>
        </w:tabs>
        <w:jc w:val="center"/>
        <w:rPr>
          <w:b/>
          <w:bCs/>
        </w:rPr>
      </w:pPr>
    </w:p>
    <w:p w14:paraId="70ED72F0" w14:textId="77777777" w:rsidR="00132DBA" w:rsidRDefault="00132DBA" w:rsidP="00C25AE6">
      <w:pPr>
        <w:tabs>
          <w:tab w:val="center" w:pos="4680"/>
        </w:tabs>
        <w:jc w:val="center"/>
        <w:rPr>
          <w:b/>
          <w:bCs/>
        </w:rPr>
      </w:pPr>
    </w:p>
    <w:p w14:paraId="464A8986" w14:textId="77777777" w:rsidR="00132DBA" w:rsidRDefault="00132DBA" w:rsidP="000575C6">
      <w:pPr>
        <w:tabs>
          <w:tab w:val="center" w:pos="4680"/>
        </w:tabs>
        <w:rPr>
          <w:b/>
          <w:bCs/>
        </w:rPr>
      </w:pPr>
    </w:p>
    <w:p w14:paraId="266BA9A7" w14:textId="77777777" w:rsidR="00CD5E5D" w:rsidRDefault="00CD5E5D" w:rsidP="00C25AE6">
      <w:pPr>
        <w:tabs>
          <w:tab w:val="center" w:pos="4680"/>
        </w:tabs>
        <w:jc w:val="center"/>
        <w:rPr>
          <w:rFonts w:ascii="Noto Sans" w:hAnsi="Noto Sans" w:cs="Noto Sans"/>
          <w:b/>
          <w:bCs/>
          <w:sz w:val="28"/>
          <w:szCs w:val="28"/>
        </w:rPr>
      </w:pPr>
    </w:p>
    <w:p w14:paraId="348AAEF3" w14:textId="444BAE54" w:rsidR="002F5D81" w:rsidRPr="004C2EB3" w:rsidRDefault="00C25AE6" w:rsidP="00C25AE6">
      <w:pPr>
        <w:tabs>
          <w:tab w:val="center" w:pos="4680"/>
        </w:tabs>
        <w:jc w:val="center"/>
        <w:rPr>
          <w:rFonts w:ascii="Noto Sans" w:hAnsi="Noto Sans" w:cs="Noto Sans"/>
          <w:b/>
          <w:bCs/>
          <w:sz w:val="28"/>
          <w:szCs w:val="28"/>
        </w:rPr>
      </w:pPr>
      <w:r w:rsidRPr="004C2EB3">
        <w:rPr>
          <w:rFonts w:ascii="Noto Sans" w:hAnsi="Noto Sans" w:cs="Noto Sans"/>
          <w:b/>
          <w:bCs/>
          <w:sz w:val="28"/>
          <w:szCs w:val="28"/>
        </w:rPr>
        <w:t>Housing Allowance Information - Do Not Discard!</w:t>
      </w:r>
    </w:p>
    <w:p w14:paraId="47666EE1" w14:textId="77777777" w:rsidR="002D3DB0" w:rsidRDefault="002D3DB0">
      <w:pPr>
        <w:tabs>
          <w:tab w:val="left" w:pos="-1440"/>
        </w:tabs>
        <w:ind w:left="720" w:hanging="720"/>
      </w:pPr>
    </w:p>
    <w:p w14:paraId="3FB875F8" w14:textId="00EB67D0" w:rsidR="00BC3BB2" w:rsidRPr="004C2EB3" w:rsidRDefault="00EF43F4">
      <w:pPr>
        <w:tabs>
          <w:tab w:val="left" w:pos="-1440"/>
        </w:tabs>
        <w:ind w:left="720" w:hanging="720"/>
        <w:rPr>
          <w:rFonts w:ascii="Lora" w:hAnsi="Lora" w:cs="Noto Sans"/>
        </w:rPr>
      </w:pPr>
      <w:r w:rsidRPr="004C2EB3">
        <w:rPr>
          <w:rFonts w:ascii="Lora" w:hAnsi="Lora" w:cs="Noto Sans"/>
        </w:rPr>
        <w:t>January</w:t>
      </w:r>
      <w:r w:rsidR="00FC6BA1" w:rsidRPr="004C2EB3">
        <w:rPr>
          <w:rFonts w:ascii="Lora" w:hAnsi="Lora" w:cs="Noto Sans"/>
        </w:rPr>
        <w:t xml:space="preserve"> 20</w:t>
      </w:r>
      <w:r w:rsidR="0064551B">
        <w:rPr>
          <w:rFonts w:ascii="Lora" w:hAnsi="Lora" w:cs="Noto Sans"/>
        </w:rPr>
        <w:t>2</w:t>
      </w:r>
      <w:r w:rsidR="002F1C6D">
        <w:rPr>
          <w:rFonts w:ascii="Lora" w:hAnsi="Lora" w:cs="Noto Sans"/>
        </w:rPr>
        <w:t>4</w:t>
      </w:r>
    </w:p>
    <w:p w14:paraId="229288D5" w14:textId="77777777" w:rsidR="00BC3BB2" w:rsidRPr="004C2EB3" w:rsidRDefault="00BC3BB2">
      <w:pPr>
        <w:tabs>
          <w:tab w:val="left" w:pos="-1440"/>
        </w:tabs>
        <w:ind w:left="720" w:hanging="720"/>
        <w:rPr>
          <w:rFonts w:ascii="Lora" w:hAnsi="Lora" w:cs="Noto Sans"/>
        </w:rPr>
      </w:pPr>
    </w:p>
    <w:p w14:paraId="6A980FC5" w14:textId="77777777" w:rsidR="00125E5F" w:rsidRPr="004C2EB3" w:rsidRDefault="00125E5F">
      <w:pPr>
        <w:tabs>
          <w:tab w:val="left" w:pos="-1440"/>
        </w:tabs>
        <w:ind w:left="720" w:hanging="720"/>
        <w:rPr>
          <w:rFonts w:ascii="Lora" w:hAnsi="Lora" w:cs="Noto Sans"/>
        </w:rPr>
      </w:pPr>
      <w:r w:rsidRPr="004C2EB3">
        <w:rPr>
          <w:rFonts w:ascii="Lora" w:hAnsi="Lora" w:cs="Noto Sans"/>
        </w:rPr>
        <w:t>To:</w:t>
      </w:r>
      <w:r w:rsidRPr="004C2EB3">
        <w:rPr>
          <w:rFonts w:ascii="Lora" w:hAnsi="Lora" w:cs="Noto Sans"/>
        </w:rPr>
        <w:tab/>
        <w:t>Retired Ministers</w:t>
      </w:r>
    </w:p>
    <w:p w14:paraId="66A1E1D7" w14:textId="52DA6008" w:rsidR="00125E5F" w:rsidRPr="004C2EB3" w:rsidRDefault="00125E5F">
      <w:pPr>
        <w:tabs>
          <w:tab w:val="left" w:pos="-1440"/>
          <w:tab w:val="left" w:pos="-720"/>
          <w:tab w:val="left" w:pos="0"/>
          <w:tab w:val="left" w:pos="720"/>
          <w:tab w:val="center" w:pos="4680"/>
        </w:tabs>
        <w:ind w:left="720" w:hanging="720"/>
        <w:rPr>
          <w:rFonts w:ascii="Lora" w:hAnsi="Lora" w:cs="Noto Sans"/>
          <w:b/>
          <w:bCs/>
        </w:rPr>
      </w:pPr>
      <w:r w:rsidRPr="004C2EB3">
        <w:rPr>
          <w:rFonts w:ascii="Lora" w:hAnsi="Lora" w:cs="Noto Sans"/>
        </w:rPr>
        <w:t>From:</w:t>
      </w:r>
      <w:r w:rsidRPr="004C2EB3">
        <w:rPr>
          <w:rFonts w:ascii="Lora" w:hAnsi="Lora" w:cs="Noto Sans"/>
        </w:rPr>
        <w:tab/>
      </w:r>
      <w:r w:rsidR="00AA2502">
        <w:rPr>
          <w:rFonts w:ascii="Lora" w:hAnsi="Lora" w:cs="Noto Sans"/>
        </w:rPr>
        <w:t>Andrew Choi</w:t>
      </w:r>
      <w:r w:rsidR="00E85E74">
        <w:rPr>
          <w:rFonts w:ascii="Lora" w:hAnsi="Lora" w:cs="Noto Sans"/>
        </w:rPr>
        <w:t xml:space="preserve">, </w:t>
      </w:r>
      <w:r w:rsidR="00AA2502">
        <w:rPr>
          <w:rFonts w:ascii="Lora" w:hAnsi="Lora" w:cs="Noto Sans"/>
        </w:rPr>
        <w:t>Chief Financial Officer</w:t>
      </w:r>
    </w:p>
    <w:p w14:paraId="6B61D6CF" w14:textId="77777777" w:rsidR="00125E5F" w:rsidRPr="004C2EB3" w:rsidRDefault="00125E5F" w:rsidP="009E78EC">
      <w:pPr>
        <w:tabs>
          <w:tab w:val="center" w:pos="4680"/>
        </w:tabs>
        <w:rPr>
          <w:rFonts w:ascii="Lora" w:hAnsi="Lora" w:cs="Noto Sans"/>
        </w:rPr>
      </w:pPr>
      <w:r w:rsidRPr="004C2EB3">
        <w:rPr>
          <w:rFonts w:ascii="Lora" w:hAnsi="Lora" w:cs="Noto Sans"/>
          <w:b/>
          <w:bCs/>
        </w:rPr>
        <w:tab/>
      </w:r>
      <w:r w:rsidRPr="004C2EB3">
        <w:rPr>
          <w:rFonts w:ascii="Lora" w:hAnsi="Lora" w:cs="Noto Sans"/>
        </w:rPr>
        <w:t xml:space="preserve"> </w:t>
      </w:r>
    </w:p>
    <w:p w14:paraId="237ABE02" w14:textId="77777777" w:rsidR="00125E5F" w:rsidRPr="004C2EB3" w:rsidRDefault="00125E5F" w:rsidP="0041146A">
      <w:pPr>
        <w:jc w:val="both"/>
        <w:rPr>
          <w:rFonts w:ascii="Lora" w:hAnsi="Lora" w:cs="Noto Sans"/>
        </w:rPr>
      </w:pPr>
      <w:r w:rsidRPr="004C2EB3">
        <w:rPr>
          <w:rFonts w:ascii="Lora" w:hAnsi="Lora" w:cs="Noto Sans"/>
        </w:rPr>
        <w:t xml:space="preserve">At the </w:t>
      </w:r>
      <w:r w:rsidR="00F4078C" w:rsidRPr="004C2EB3">
        <w:rPr>
          <w:rFonts w:ascii="Lora" w:hAnsi="Lora" w:cs="Noto Sans"/>
        </w:rPr>
        <w:t xml:space="preserve">beginning of February, you should receive from us </w:t>
      </w:r>
      <w:r w:rsidRPr="004C2EB3">
        <w:rPr>
          <w:rFonts w:ascii="Lora" w:hAnsi="Lora" w:cs="Noto Sans"/>
        </w:rPr>
        <w:t xml:space="preserve">your Form 1099-R for </w:t>
      </w:r>
      <w:r w:rsidR="00765DE0" w:rsidRPr="004C2EB3">
        <w:rPr>
          <w:rFonts w:ascii="Lora" w:hAnsi="Lora" w:cs="Noto Sans"/>
        </w:rPr>
        <w:t xml:space="preserve">your </w:t>
      </w:r>
      <w:r w:rsidRPr="004C2EB3">
        <w:rPr>
          <w:rFonts w:ascii="Lora" w:hAnsi="Lora" w:cs="Noto Sans"/>
        </w:rPr>
        <w:t xml:space="preserve">benefits. At the end of last </w:t>
      </w:r>
      <w:r w:rsidR="00F65EFA" w:rsidRPr="004C2EB3">
        <w:rPr>
          <w:rFonts w:ascii="Lora" w:hAnsi="Lora" w:cs="Noto Sans"/>
        </w:rPr>
        <w:t>year,</w:t>
      </w:r>
      <w:r w:rsidRPr="004C2EB3">
        <w:rPr>
          <w:rFonts w:ascii="Lora" w:hAnsi="Lora" w:cs="Noto Sans"/>
        </w:rPr>
        <w:t xml:space="preserve"> we voted to designate up to 100</w:t>
      </w:r>
      <w:r w:rsidR="00132DBA" w:rsidRPr="004C2EB3">
        <w:rPr>
          <w:rFonts w:ascii="Lora" w:hAnsi="Lora" w:cs="Noto Sans"/>
        </w:rPr>
        <w:t xml:space="preserve"> percent</w:t>
      </w:r>
      <w:r w:rsidRPr="004C2EB3">
        <w:rPr>
          <w:rFonts w:ascii="Lora" w:hAnsi="Lora" w:cs="Noto Sans"/>
        </w:rPr>
        <w:t xml:space="preserve"> of your monthly retirement benefits as eligible for housing allowance exclusion, subject to these limits:</w:t>
      </w:r>
    </w:p>
    <w:p w14:paraId="36D8217A" w14:textId="77777777" w:rsidR="00EF43F4" w:rsidRPr="004C2EB3" w:rsidRDefault="00EF43F4" w:rsidP="0041146A">
      <w:pPr>
        <w:jc w:val="both"/>
        <w:rPr>
          <w:rFonts w:ascii="Lora" w:hAnsi="Lora" w:cs="Noto Sans"/>
        </w:rPr>
      </w:pPr>
    </w:p>
    <w:p w14:paraId="1C891B7E" w14:textId="77777777" w:rsidR="00EF43F4" w:rsidRPr="004C2EB3" w:rsidRDefault="00EF43F4" w:rsidP="0041146A">
      <w:pPr>
        <w:ind w:left="720" w:right="720"/>
        <w:mirrorIndents/>
        <w:jc w:val="both"/>
        <w:rPr>
          <w:rFonts w:ascii="Lora" w:hAnsi="Lora" w:cs="Noto Sans"/>
        </w:rPr>
      </w:pPr>
      <w:r w:rsidRPr="004C2EB3">
        <w:rPr>
          <w:rFonts w:ascii="Lora" w:hAnsi="Lora" w:cs="Noto Sans"/>
        </w:rPr>
        <w:t>You must have actually spent the money on qualifying expenses, and regardless of how much you spent, you can’t reduce your income more than the fair rental value of your home plus utilities. (For more on this, see the first question, next page.)</w:t>
      </w:r>
    </w:p>
    <w:p w14:paraId="52F05FE7" w14:textId="77777777" w:rsidR="00EF43F4" w:rsidRPr="004C2EB3" w:rsidRDefault="00EF43F4" w:rsidP="0041146A">
      <w:pPr>
        <w:ind w:left="720" w:right="720"/>
        <w:mirrorIndents/>
        <w:jc w:val="both"/>
        <w:rPr>
          <w:rFonts w:ascii="Lora" w:hAnsi="Lora" w:cs="Noto Sans"/>
        </w:rPr>
      </w:pPr>
    </w:p>
    <w:p w14:paraId="6A9C046C" w14:textId="77777777" w:rsidR="00125E5F" w:rsidRPr="004C2EB3" w:rsidRDefault="00F4078C" w:rsidP="0041146A">
      <w:pPr>
        <w:jc w:val="both"/>
        <w:rPr>
          <w:rFonts w:ascii="Lora" w:hAnsi="Lora" w:cs="Noto Sans"/>
        </w:rPr>
      </w:pPr>
      <w:r w:rsidRPr="004C2EB3">
        <w:rPr>
          <w:rFonts w:ascii="Lora" w:hAnsi="Lora" w:cs="Noto Sans"/>
        </w:rPr>
        <w:t>On a retired minister’s</w:t>
      </w:r>
      <w:r w:rsidR="00B90A1D" w:rsidRPr="004C2EB3">
        <w:rPr>
          <w:rFonts w:ascii="Lora" w:hAnsi="Lora" w:cs="Noto Sans"/>
        </w:rPr>
        <w:t xml:space="preserve"> 1099-R, </w:t>
      </w:r>
      <w:r w:rsidR="00125E5F" w:rsidRPr="004C2EB3">
        <w:rPr>
          <w:rFonts w:ascii="Lora" w:hAnsi="Lora" w:cs="Noto Sans"/>
        </w:rPr>
        <w:t>we mark box</w:t>
      </w:r>
      <w:r w:rsidR="00BD0E2C" w:rsidRPr="004C2EB3">
        <w:rPr>
          <w:rFonts w:ascii="Lora" w:hAnsi="Lora" w:cs="Noto Sans"/>
        </w:rPr>
        <w:t xml:space="preserve"> 2b as ‘</w:t>
      </w:r>
      <w:r w:rsidR="00125E5F" w:rsidRPr="004C2EB3">
        <w:rPr>
          <w:rFonts w:ascii="Lora" w:hAnsi="Lora" w:cs="Noto Sans"/>
        </w:rPr>
        <w:t>Taxable amount not determined.</w:t>
      </w:r>
      <w:r w:rsidR="00BD0E2C" w:rsidRPr="004C2EB3">
        <w:rPr>
          <w:rFonts w:ascii="Lora" w:hAnsi="Lora" w:cs="Noto Sans"/>
        </w:rPr>
        <w:t>’</w:t>
      </w:r>
      <w:r w:rsidR="00125E5F" w:rsidRPr="004C2EB3">
        <w:rPr>
          <w:rFonts w:ascii="Lora" w:hAnsi="Lora" w:cs="Noto Sans"/>
          <w:b/>
          <w:bCs/>
        </w:rPr>
        <w:t xml:space="preserve"> </w:t>
      </w:r>
      <w:r w:rsidR="00125E5F" w:rsidRPr="004C2EB3">
        <w:rPr>
          <w:rFonts w:ascii="Lora" w:hAnsi="Lora" w:cs="Noto Sans"/>
        </w:rPr>
        <w:t>We also le</w:t>
      </w:r>
      <w:r w:rsidR="005F4542" w:rsidRPr="004C2EB3">
        <w:rPr>
          <w:rFonts w:ascii="Lora" w:hAnsi="Lora" w:cs="Noto Sans"/>
        </w:rPr>
        <w:t>ave</w:t>
      </w:r>
      <w:r w:rsidR="00125E5F" w:rsidRPr="004C2EB3">
        <w:rPr>
          <w:rFonts w:ascii="Lora" w:hAnsi="Lora" w:cs="Noto Sans"/>
        </w:rPr>
        <w:t xml:space="preserve"> box</w:t>
      </w:r>
      <w:r w:rsidR="00BD0E2C" w:rsidRPr="004C2EB3">
        <w:rPr>
          <w:rFonts w:ascii="Lora" w:hAnsi="Lora" w:cs="Noto Sans"/>
        </w:rPr>
        <w:t xml:space="preserve"> 2a</w:t>
      </w:r>
      <w:r w:rsidR="00BE4174" w:rsidRPr="004C2EB3">
        <w:rPr>
          <w:rFonts w:ascii="Lora" w:hAnsi="Lora" w:cs="Noto Sans"/>
        </w:rPr>
        <w:t>,</w:t>
      </w:r>
      <w:r w:rsidR="00125E5F" w:rsidRPr="004C2EB3">
        <w:rPr>
          <w:rFonts w:ascii="Lora" w:hAnsi="Lora" w:cs="Noto Sans"/>
        </w:rPr>
        <w:t xml:space="preserve"> </w:t>
      </w:r>
      <w:r w:rsidR="00BE4174" w:rsidRPr="004C2EB3">
        <w:rPr>
          <w:rFonts w:ascii="Lora" w:hAnsi="Lora" w:cs="Noto Sans"/>
        </w:rPr>
        <w:t>“</w:t>
      </w:r>
      <w:r w:rsidR="00125E5F" w:rsidRPr="004C2EB3">
        <w:rPr>
          <w:rFonts w:ascii="Lora" w:hAnsi="Lora" w:cs="Noto Sans"/>
        </w:rPr>
        <w:t>Taxable Distribution</w:t>
      </w:r>
      <w:r w:rsidR="00BE4174" w:rsidRPr="004C2EB3">
        <w:rPr>
          <w:rFonts w:ascii="Lora" w:hAnsi="Lora" w:cs="Noto Sans"/>
        </w:rPr>
        <w:t>”</w:t>
      </w:r>
      <w:r w:rsidR="00517CF0" w:rsidRPr="004C2EB3">
        <w:rPr>
          <w:rFonts w:ascii="Lora" w:hAnsi="Lora" w:cs="Noto Sans"/>
        </w:rPr>
        <w:t xml:space="preserve"> blank.</w:t>
      </w:r>
      <w:r w:rsidR="00125E5F" w:rsidRPr="004C2EB3">
        <w:rPr>
          <w:rFonts w:ascii="Lora" w:hAnsi="Lora" w:cs="Noto Sans"/>
        </w:rPr>
        <w:t xml:space="preserve"> This is </w:t>
      </w:r>
      <w:r w:rsidR="00E64828" w:rsidRPr="004C2EB3">
        <w:rPr>
          <w:rFonts w:ascii="Lora" w:hAnsi="Lora" w:cs="Noto Sans"/>
        </w:rPr>
        <w:t>deliberate and</w:t>
      </w:r>
      <w:r w:rsidR="00125E5F" w:rsidRPr="004C2EB3">
        <w:rPr>
          <w:rFonts w:ascii="Lora" w:hAnsi="Lora" w:cs="Noto Sans"/>
        </w:rPr>
        <w:t xml:space="preserve"> follows IRS instructions. It is up to </w:t>
      </w:r>
      <w:r w:rsidRPr="004C2EB3">
        <w:rPr>
          <w:rFonts w:ascii="Lora" w:hAnsi="Lora" w:cs="Noto Sans"/>
        </w:rPr>
        <w:t>the retired minister</w:t>
      </w:r>
      <w:r w:rsidR="00125E5F" w:rsidRPr="004C2EB3">
        <w:rPr>
          <w:rFonts w:ascii="Lora" w:hAnsi="Lora" w:cs="Noto Sans"/>
        </w:rPr>
        <w:t xml:space="preserve"> to d</w:t>
      </w:r>
      <w:r w:rsidR="00C63F44" w:rsidRPr="004C2EB3">
        <w:rPr>
          <w:rFonts w:ascii="Lora" w:hAnsi="Lora" w:cs="Noto Sans"/>
        </w:rPr>
        <w:t>ocument</w:t>
      </w:r>
      <w:r w:rsidR="00125E5F" w:rsidRPr="004C2EB3">
        <w:rPr>
          <w:rFonts w:ascii="Lora" w:hAnsi="Lora" w:cs="Noto Sans"/>
        </w:rPr>
        <w:t xml:space="preserve"> what portion of </w:t>
      </w:r>
      <w:r w:rsidRPr="004C2EB3">
        <w:rPr>
          <w:rFonts w:ascii="Lora" w:hAnsi="Lora" w:cs="Noto Sans"/>
        </w:rPr>
        <w:t>the</w:t>
      </w:r>
      <w:r w:rsidR="00125E5F" w:rsidRPr="004C2EB3">
        <w:rPr>
          <w:rFonts w:ascii="Lora" w:hAnsi="Lora" w:cs="Noto Sans"/>
        </w:rPr>
        <w:t xml:space="preserve"> pension ha</w:t>
      </w:r>
      <w:r w:rsidRPr="004C2EB3">
        <w:rPr>
          <w:rFonts w:ascii="Lora" w:hAnsi="Lora" w:cs="Noto Sans"/>
        </w:rPr>
        <w:t>s been</w:t>
      </w:r>
      <w:r w:rsidR="00125E5F" w:rsidRPr="004C2EB3">
        <w:rPr>
          <w:rFonts w:ascii="Lora" w:hAnsi="Lora" w:cs="Noto Sans"/>
        </w:rPr>
        <w:t xml:space="preserve"> used for qualifying housing allowance</w:t>
      </w:r>
      <w:r w:rsidRPr="004C2EB3">
        <w:rPr>
          <w:rFonts w:ascii="Lora" w:hAnsi="Lora" w:cs="Noto Sans"/>
        </w:rPr>
        <w:t xml:space="preserve"> if questioned by the IRS</w:t>
      </w:r>
      <w:r w:rsidR="00125E5F" w:rsidRPr="004C2EB3">
        <w:rPr>
          <w:rFonts w:ascii="Lora" w:hAnsi="Lora" w:cs="Noto Sans"/>
        </w:rPr>
        <w:t>.</w:t>
      </w:r>
      <w:r w:rsidR="00220211" w:rsidRPr="004C2EB3">
        <w:rPr>
          <w:rFonts w:ascii="Lora" w:hAnsi="Lora" w:cs="Noto Sans"/>
        </w:rPr>
        <w:t xml:space="preserve"> Unlike your employment housing allowance, </w:t>
      </w:r>
      <w:r w:rsidR="00BD0E2C" w:rsidRPr="004C2EB3">
        <w:rPr>
          <w:rFonts w:ascii="Lora" w:hAnsi="Lora" w:cs="Noto Sans"/>
        </w:rPr>
        <w:t xml:space="preserve">please </w:t>
      </w:r>
      <w:r w:rsidR="00220211" w:rsidRPr="004C2EB3">
        <w:rPr>
          <w:rFonts w:ascii="Lora" w:hAnsi="Lora" w:cs="Noto Sans"/>
        </w:rPr>
        <w:t>do NOT send us a report of your housing expenses.</w:t>
      </w:r>
    </w:p>
    <w:p w14:paraId="7E628576" w14:textId="77777777" w:rsidR="00125E5F" w:rsidRPr="004C2EB3" w:rsidRDefault="00125E5F" w:rsidP="0041146A">
      <w:pPr>
        <w:jc w:val="both"/>
        <w:rPr>
          <w:rFonts w:ascii="Lora" w:hAnsi="Lora" w:cs="Noto Sans"/>
        </w:rPr>
      </w:pPr>
    </w:p>
    <w:p w14:paraId="0E456F24" w14:textId="7B32DAE9" w:rsidR="00045D9C" w:rsidRPr="004C2EB3" w:rsidRDefault="00125E5F" w:rsidP="0041146A">
      <w:pPr>
        <w:jc w:val="both"/>
        <w:rPr>
          <w:b/>
        </w:rPr>
      </w:pPr>
      <w:r w:rsidRPr="004C2EB3">
        <w:rPr>
          <w:rFonts w:ascii="Lora" w:hAnsi="Lora" w:cs="Noto Sans"/>
        </w:rPr>
        <w:t xml:space="preserve">If your </w:t>
      </w:r>
      <w:r w:rsidR="00E71DF1" w:rsidRPr="004C2EB3">
        <w:rPr>
          <w:rFonts w:ascii="Lora" w:hAnsi="Lora" w:cs="Noto Sans"/>
        </w:rPr>
        <w:t xml:space="preserve">actual </w:t>
      </w:r>
      <w:r w:rsidR="00B90A1D" w:rsidRPr="004C2EB3">
        <w:rPr>
          <w:rFonts w:ascii="Lora" w:hAnsi="Lora" w:cs="Noto Sans"/>
        </w:rPr>
        <w:t xml:space="preserve">qualifying </w:t>
      </w:r>
      <w:r w:rsidRPr="004C2EB3">
        <w:rPr>
          <w:rFonts w:ascii="Lora" w:hAnsi="Lora" w:cs="Noto Sans"/>
        </w:rPr>
        <w:t xml:space="preserve">expenses for providing a home during </w:t>
      </w:r>
      <w:r w:rsidR="00765DE0" w:rsidRPr="004C2EB3">
        <w:rPr>
          <w:rFonts w:ascii="Lora" w:hAnsi="Lora" w:cs="Noto Sans"/>
        </w:rPr>
        <w:t>this year</w:t>
      </w:r>
      <w:r w:rsidRPr="004C2EB3">
        <w:rPr>
          <w:rFonts w:ascii="Lora" w:hAnsi="Lora" w:cs="Noto Sans"/>
        </w:rPr>
        <w:t xml:space="preserve"> are less than </w:t>
      </w:r>
      <w:r w:rsidR="00DE27F5" w:rsidRPr="004C2EB3">
        <w:rPr>
          <w:rFonts w:ascii="Lora" w:hAnsi="Lora" w:cs="Noto Sans"/>
        </w:rPr>
        <w:t>the amount in box 1 of your 1099-R,</w:t>
      </w:r>
      <w:r w:rsidRPr="004C2EB3">
        <w:rPr>
          <w:rFonts w:ascii="Lora" w:hAnsi="Lora" w:cs="Noto Sans"/>
        </w:rPr>
        <w:t xml:space="preserve"> tax rules require you to report the difference</w:t>
      </w:r>
      <w:r w:rsidR="0067455E" w:rsidRPr="004C2EB3">
        <w:rPr>
          <w:rFonts w:ascii="Lora" w:hAnsi="Lora" w:cs="Noto Sans"/>
        </w:rPr>
        <w:t xml:space="preserve"> as </w:t>
      </w:r>
      <w:r w:rsidRPr="004C2EB3">
        <w:rPr>
          <w:rFonts w:ascii="Lora" w:hAnsi="Lora" w:cs="Noto Sans"/>
        </w:rPr>
        <w:t xml:space="preserve">a taxable distribution. Failure to report unused parsonage allowance would be a violation of the Internal Revenue Code that could result in substantial penalties. </w:t>
      </w:r>
      <w:r w:rsidR="00F4078C" w:rsidRPr="004C2EB3">
        <w:rPr>
          <w:rFonts w:ascii="Lora" w:hAnsi="Lora" w:cs="Noto Sans"/>
        </w:rPr>
        <w:t>On form 1040</w:t>
      </w:r>
      <w:r w:rsidR="00DE7E3B">
        <w:rPr>
          <w:rFonts w:ascii="Lora" w:hAnsi="Lora" w:cs="Noto Sans"/>
        </w:rPr>
        <w:t xml:space="preserve"> the line labeled </w:t>
      </w:r>
      <w:r w:rsidR="00DE7E3B" w:rsidRPr="00DE7E3B">
        <w:rPr>
          <w:rFonts w:ascii="Lora" w:hAnsi="Lora" w:cs="Noto Sans"/>
          <w:b/>
          <w:bCs/>
          <w:color w:val="000000" w:themeColor="text1"/>
        </w:rPr>
        <w:t>Pensions and annuities</w:t>
      </w:r>
      <w:r w:rsidR="00844382">
        <w:rPr>
          <w:rFonts w:ascii="Lora" w:hAnsi="Lora" w:cs="Noto Sans"/>
          <w:b/>
          <w:bCs/>
          <w:color w:val="000000" w:themeColor="text1"/>
        </w:rPr>
        <w:t>*</w:t>
      </w:r>
      <w:r w:rsidR="00DD2E57" w:rsidRPr="004C2EB3">
        <w:rPr>
          <w:rFonts w:ascii="Lora" w:hAnsi="Lora" w:cs="Noto Sans"/>
        </w:rPr>
        <w:t xml:space="preserve">, enter the total </w:t>
      </w:r>
      <w:r w:rsidR="00F4078C" w:rsidRPr="004C2EB3">
        <w:rPr>
          <w:rFonts w:ascii="Lora" w:hAnsi="Lora" w:cs="Noto Sans"/>
        </w:rPr>
        <w:t xml:space="preserve">minister’s </w:t>
      </w:r>
      <w:r w:rsidR="00DD2E57" w:rsidRPr="004C2EB3">
        <w:rPr>
          <w:rFonts w:ascii="Lora" w:hAnsi="Lora" w:cs="Noto Sans"/>
        </w:rPr>
        <w:t xml:space="preserve">pension </w:t>
      </w:r>
      <w:r w:rsidR="00F4078C" w:rsidRPr="004C2EB3">
        <w:rPr>
          <w:rFonts w:ascii="Lora" w:hAnsi="Lora" w:cs="Noto Sans"/>
        </w:rPr>
        <w:t>amount</w:t>
      </w:r>
      <w:r w:rsidR="00DD2E57" w:rsidRPr="004C2EB3">
        <w:rPr>
          <w:rFonts w:ascii="Lora" w:hAnsi="Lora" w:cs="Noto Sans"/>
        </w:rPr>
        <w:t xml:space="preserve">. </w:t>
      </w:r>
      <w:r w:rsidR="00C446CB" w:rsidRPr="004C2EB3">
        <w:rPr>
          <w:rFonts w:ascii="Lora" w:hAnsi="Lora" w:cs="Noto Sans"/>
        </w:rPr>
        <w:t>E</w:t>
      </w:r>
      <w:r w:rsidR="00DD2E57" w:rsidRPr="004C2EB3">
        <w:rPr>
          <w:rFonts w:ascii="Lora" w:hAnsi="Lora" w:cs="Noto Sans"/>
        </w:rPr>
        <w:t>nter the taxable</w:t>
      </w:r>
      <w:r w:rsidR="00F4078C" w:rsidRPr="004C2EB3">
        <w:rPr>
          <w:rFonts w:ascii="Lora" w:hAnsi="Lora" w:cs="Noto Sans"/>
        </w:rPr>
        <w:t xml:space="preserve"> benefit, if any, in </w:t>
      </w:r>
      <w:r w:rsidR="00DE7E3B">
        <w:rPr>
          <w:rFonts w:ascii="Lora" w:hAnsi="Lora" w:cs="Noto Sans"/>
        </w:rPr>
        <w:t>the corresponding box</w:t>
      </w:r>
      <w:r w:rsidR="00132DBA" w:rsidRPr="004C2EB3">
        <w:rPr>
          <w:rFonts w:ascii="Lora" w:hAnsi="Lora" w:cs="Noto Sans"/>
        </w:rPr>
        <w:t xml:space="preserve"> </w:t>
      </w:r>
      <w:r w:rsidR="00F4078C" w:rsidRPr="004C2EB3">
        <w:rPr>
          <w:rFonts w:ascii="Lora" w:hAnsi="Lora" w:cs="Noto Sans"/>
        </w:rPr>
        <w:t>after subtracting qualifying housing expenses from the total minister’s pension.</w:t>
      </w:r>
      <w:r w:rsidR="00C446CB" w:rsidRPr="004C2EB3">
        <w:rPr>
          <w:rFonts w:ascii="Lora" w:hAnsi="Lora" w:cs="Noto Sans"/>
        </w:rPr>
        <w:t xml:space="preserve"> </w:t>
      </w:r>
    </w:p>
    <w:p w14:paraId="69E347B7" w14:textId="77777777" w:rsidR="00DE7E3B" w:rsidRDefault="00DE7E3B" w:rsidP="0041146A">
      <w:pPr>
        <w:jc w:val="both"/>
        <w:rPr>
          <w:rFonts w:ascii="Lora" w:hAnsi="Lora"/>
        </w:rPr>
      </w:pPr>
    </w:p>
    <w:p w14:paraId="18C57A2B" w14:textId="2108CE69" w:rsidR="00125E5F" w:rsidRPr="004C2EB3" w:rsidRDefault="00F65EFA" w:rsidP="0041146A">
      <w:pPr>
        <w:jc w:val="both"/>
        <w:rPr>
          <w:rFonts w:ascii="Lora" w:hAnsi="Lora"/>
        </w:rPr>
      </w:pPr>
      <w:r w:rsidRPr="004C2EB3">
        <w:rPr>
          <w:rFonts w:ascii="Lora" w:hAnsi="Lora"/>
        </w:rPr>
        <w:t>Here are</w:t>
      </w:r>
      <w:r w:rsidR="00DF2D68" w:rsidRPr="004C2EB3">
        <w:rPr>
          <w:rFonts w:ascii="Lora" w:hAnsi="Lora"/>
        </w:rPr>
        <w:t xml:space="preserve"> various categories of expenses generally believed to qualify for parsonage allowance exclusion</w:t>
      </w:r>
      <w:r w:rsidR="00C63F44" w:rsidRPr="004C2EB3">
        <w:rPr>
          <w:rFonts w:ascii="Lora" w:hAnsi="Lora"/>
        </w:rPr>
        <w:t xml:space="preserve">, subject to the </w:t>
      </w:r>
      <w:r w:rsidR="00F4078C" w:rsidRPr="004C2EB3">
        <w:rPr>
          <w:rFonts w:ascii="Lora" w:hAnsi="Lora"/>
        </w:rPr>
        <w:t>Fair Rental Value and Actual Expenditures limits.</w:t>
      </w:r>
    </w:p>
    <w:p w14:paraId="6AEC7F09" w14:textId="77777777" w:rsidR="00EF43F4" w:rsidRPr="004C2EB3" w:rsidRDefault="00EF43F4">
      <w:pPr>
        <w:rPr>
          <w:rFonts w:ascii="Lora" w:hAnsi="Lora"/>
        </w:rPr>
      </w:pPr>
    </w:p>
    <w:p w14:paraId="0DD27E0C" w14:textId="77777777" w:rsidR="00EF43F4" w:rsidRPr="004C2EB3" w:rsidRDefault="00EF43F4">
      <w:pPr>
        <w:rPr>
          <w:rFonts w:ascii="Lora" w:hAnsi="Lora"/>
        </w:rPr>
        <w:sectPr w:rsidR="00EF43F4" w:rsidRPr="004C2EB3" w:rsidSect="00401B65">
          <w:footerReference w:type="default" r:id="rId8"/>
          <w:pgSz w:w="12240" w:h="15840"/>
          <w:pgMar w:top="1440" w:right="1440" w:bottom="1440" w:left="1440" w:header="450" w:footer="630" w:gutter="0"/>
          <w:cols w:space="720"/>
          <w:noEndnote/>
          <w:docGrid w:linePitch="326"/>
        </w:sectPr>
      </w:pPr>
    </w:p>
    <w:p w14:paraId="5F3A5CE9" w14:textId="77777777" w:rsidR="00F436ED" w:rsidRPr="004C2EB3" w:rsidRDefault="00F436ED" w:rsidP="00F65EFA">
      <w:pPr>
        <w:pStyle w:val="ListParagraph"/>
        <w:numPr>
          <w:ilvl w:val="0"/>
          <w:numId w:val="6"/>
        </w:numPr>
        <w:rPr>
          <w:rFonts w:ascii="Lora" w:hAnsi="Lora"/>
        </w:rPr>
      </w:pPr>
      <w:r w:rsidRPr="004C2EB3">
        <w:rPr>
          <w:rFonts w:ascii="Lora" w:hAnsi="Lora"/>
        </w:rPr>
        <w:t>Mortgage Payments or Rent</w:t>
      </w:r>
    </w:p>
    <w:p w14:paraId="5D0B4C95" w14:textId="21533AAD" w:rsidR="00F436ED" w:rsidRPr="004C2EB3" w:rsidRDefault="00F436ED" w:rsidP="00F65EFA">
      <w:pPr>
        <w:pStyle w:val="ListParagraph"/>
        <w:numPr>
          <w:ilvl w:val="0"/>
          <w:numId w:val="6"/>
        </w:numPr>
        <w:rPr>
          <w:rFonts w:ascii="Lora" w:hAnsi="Lora"/>
        </w:rPr>
      </w:pPr>
      <w:r w:rsidRPr="004C2EB3">
        <w:rPr>
          <w:rFonts w:ascii="Lora" w:hAnsi="Lora"/>
        </w:rPr>
        <w:t>Real estate Commission, Escrow</w:t>
      </w:r>
      <w:r w:rsidR="000D2EC6">
        <w:rPr>
          <w:rFonts w:ascii="Lora" w:hAnsi="Lora"/>
        </w:rPr>
        <w:t xml:space="preserve"> </w:t>
      </w:r>
      <w:r w:rsidRPr="004C2EB3">
        <w:rPr>
          <w:rFonts w:ascii="Lora" w:hAnsi="Lora"/>
        </w:rPr>
        <w:t>Fees</w:t>
      </w:r>
    </w:p>
    <w:p w14:paraId="1585C639" w14:textId="77777777" w:rsidR="00C63F44" w:rsidRPr="004C2EB3" w:rsidRDefault="00F436ED" w:rsidP="00F65EFA">
      <w:pPr>
        <w:pStyle w:val="ListParagraph"/>
        <w:numPr>
          <w:ilvl w:val="0"/>
          <w:numId w:val="6"/>
        </w:numPr>
        <w:rPr>
          <w:rFonts w:ascii="Lora" w:hAnsi="Lora"/>
        </w:rPr>
      </w:pPr>
      <w:r w:rsidRPr="004C2EB3">
        <w:rPr>
          <w:rFonts w:ascii="Lora" w:hAnsi="Lora"/>
        </w:rPr>
        <w:t>Real &amp; Personal Property Taxes</w:t>
      </w:r>
    </w:p>
    <w:p w14:paraId="4812473B" w14:textId="77777777" w:rsidR="00F436ED" w:rsidRPr="00F20942" w:rsidRDefault="00F436ED" w:rsidP="00F65EFA">
      <w:pPr>
        <w:pStyle w:val="ListParagraph"/>
        <w:numPr>
          <w:ilvl w:val="0"/>
          <w:numId w:val="6"/>
        </w:numPr>
        <w:rPr>
          <w:rFonts w:ascii="Lora" w:hAnsi="Lora"/>
          <w:u w:val="single"/>
        </w:rPr>
      </w:pPr>
      <w:r w:rsidRPr="004C2EB3">
        <w:rPr>
          <w:rFonts w:ascii="Lora" w:hAnsi="Lora"/>
        </w:rPr>
        <w:t xml:space="preserve">Homeowner’s &amp; Contents </w:t>
      </w:r>
      <w:r w:rsidRPr="001C4F3A">
        <w:rPr>
          <w:rFonts w:ascii="Lora" w:hAnsi="Lora"/>
        </w:rPr>
        <w:t>Insurance</w:t>
      </w:r>
    </w:p>
    <w:p w14:paraId="00438A10" w14:textId="77777777" w:rsidR="00F436ED" w:rsidRPr="004C2EB3" w:rsidRDefault="00F436ED" w:rsidP="00F65EFA">
      <w:pPr>
        <w:pStyle w:val="ListParagraph"/>
        <w:numPr>
          <w:ilvl w:val="0"/>
          <w:numId w:val="6"/>
        </w:numPr>
        <w:rPr>
          <w:rFonts w:ascii="Lora" w:hAnsi="Lora"/>
        </w:rPr>
      </w:pPr>
      <w:r w:rsidRPr="004C2EB3">
        <w:rPr>
          <w:rFonts w:ascii="Lora" w:hAnsi="Lora"/>
        </w:rPr>
        <w:t>Down Payment on Primary Residence</w:t>
      </w:r>
    </w:p>
    <w:p w14:paraId="3A14434E" w14:textId="77777777" w:rsidR="00EF43F4" w:rsidRPr="004C2EB3" w:rsidRDefault="00EF43F4" w:rsidP="00F65EFA">
      <w:pPr>
        <w:pStyle w:val="ListParagraph"/>
        <w:numPr>
          <w:ilvl w:val="0"/>
          <w:numId w:val="6"/>
        </w:numPr>
        <w:rPr>
          <w:rFonts w:ascii="Lora" w:hAnsi="Lora"/>
        </w:rPr>
      </w:pPr>
      <w:r w:rsidRPr="004C2EB3">
        <w:rPr>
          <w:rFonts w:ascii="Lora" w:hAnsi="Lora"/>
        </w:rPr>
        <w:t>Homeowner’s Association or Condo Fees</w:t>
      </w:r>
    </w:p>
    <w:p w14:paraId="3666E9B8" w14:textId="77777777" w:rsidR="00EF43F4" w:rsidRPr="004C2EB3" w:rsidRDefault="00EF43F4" w:rsidP="00F65EFA">
      <w:pPr>
        <w:pStyle w:val="ListParagraph"/>
        <w:numPr>
          <w:ilvl w:val="0"/>
          <w:numId w:val="6"/>
        </w:numPr>
        <w:rPr>
          <w:rFonts w:ascii="Lora" w:hAnsi="Lora"/>
        </w:rPr>
      </w:pPr>
      <w:r w:rsidRPr="004C2EB3">
        <w:rPr>
          <w:rFonts w:ascii="Lora" w:hAnsi="Lora"/>
        </w:rPr>
        <w:t>Home Maintenance, Furnishings, Decorating, Lawn Maintenance</w:t>
      </w:r>
    </w:p>
    <w:p w14:paraId="25210CAA" w14:textId="77777777" w:rsidR="00EF43F4" w:rsidRPr="004C2EB3" w:rsidRDefault="00EF43F4" w:rsidP="00F65EFA">
      <w:pPr>
        <w:pStyle w:val="ListParagraph"/>
        <w:numPr>
          <w:ilvl w:val="0"/>
          <w:numId w:val="6"/>
        </w:numPr>
        <w:rPr>
          <w:rFonts w:ascii="Lora" w:hAnsi="Lora"/>
        </w:rPr>
      </w:pPr>
      <w:r w:rsidRPr="004C2EB3">
        <w:rPr>
          <w:rFonts w:ascii="Lora" w:hAnsi="Lora"/>
        </w:rPr>
        <w:t>Utilities (gas, power, water, base phone, trash, basic cable)</w:t>
      </w:r>
    </w:p>
    <w:p w14:paraId="7FEFA0E8" w14:textId="77777777" w:rsidR="00EF43F4" w:rsidRPr="004C2EB3" w:rsidRDefault="00EF43F4">
      <w:pPr>
        <w:rPr>
          <w:rFonts w:ascii="Lora" w:hAnsi="Lora"/>
        </w:rPr>
        <w:sectPr w:rsidR="00EF43F4" w:rsidRPr="004C2EB3" w:rsidSect="00401B65">
          <w:type w:val="continuous"/>
          <w:pgSz w:w="12240" w:h="15840"/>
          <w:pgMar w:top="1440" w:right="1440" w:bottom="1440" w:left="1440" w:header="450" w:footer="630" w:gutter="0"/>
          <w:cols w:num="2" w:space="720"/>
          <w:noEndnote/>
        </w:sectPr>
      </w:pPr>
    </w:p>
    <w:p w14:paraId="26FCEB9B" w14:textId="77777777" w:rsidR="00F436ED" w:rsidRPr="004C2EB3" w:rsidRDefault="00F436ED">
      <w:pPr>
        <w:rPr>
          <w:rFonts w:ascii="Lora" w:hAnsi="Lora"/>
        </w:rPr>
      </w:pPr>
    </w:p>
    <w:p w14:paraId="4FE74E95" w14:textId="47D62D52" w:rsidR="007B3C9C" w:rsidRPr="004C2EB3" w:rsidRDefault="004C2EB3" w:rsidP="0041146A">
      <w:pPr>
        <w:jc w:val="both"/>
        <w:rPr>
          <w:rFonts w:ascii="Lora" w:hAnsi="Lora"/>
        </w:rPr>
      </w:pPr>
      <w:r>
        <w:rPr>
          <w:rFonts w:ascii="Lora" w:hAnsi="Lora"/>
        </w:rPr>
        <w:t>Accompanying</w:t>
      </w:r>
      <w:r w:rsidR="00F4078C" w:rsidRPr="004C2EB3">
        <w:rPr>
          <w:rFonts w:ascii="Lora" w:hAnsi="Lora"/>
        </w:rPr>
        <w:t xml:space="preserve"> this letter are some Frequently Asked Questions. </w:t>
      </w:r>
      <w:r w:rsidR="00125E5F" w:rsidRPr="004C2EB3">
        <w:rPr>
          <w:rFonts w:ascii="Lora" w:hAnsi="Lora"/>
        </w:rPr>
        <w:t xml:space="preserve">This letter provides general information we believe to be </w:t>
      </w:r>
      <w:r w:rsidR="00E64828" w:rsidRPr="004C2EB3">
        <w:rPr>
          <w:rFonts w:ascii="Lora" w:hAnsi="Lora"/>
        </w:rPr>
        <w:t>accurate but</w:t>
      </w:r>
      <w:r w:rsidR="00125E5F" w:rsidRPr="004C2EB3">
        <w:rPr>
          <w:rFonts w:ascii="Lora" w:hAnsi="Lora"/>
        </w:rPr>
        <w:t xml:space="preserve"> is not intended to be used as specific tax advice for your situation. You may wish to consult a tax expert.</w:t>
      </w:r>
    </w:p>
    <w:p w14:paraId="1B07D177" w14:textId="22BA7DC5" w:rsidR="00125E5F" w:rsidRDefault="00125E5F" w:rsidP="0041146A">
      <w:pPr>
        <w:jc w:val="both"/>
      </w:pPr>
    </w:p>
    <w:p w14:paraId="6777B526" w14:textId="03154B82" w:rsidR="00844382" w:rsidRPr="00844382" w:rsidRDefault="00844382" w:rsidP="00844382">
      <w:pPr>
        <w:jc w:val="both"/>
        <w:rPr>
          <w:color w:val="000000" w:themeColor="text1"/>
          <w:sz w:val="20"/>
          <w:szCs w:val="20"/>
        </w:rPr>
      </w:pPr>
      <w:r w:rsidRPr="00844382">
        <w:rPr>
          <w:color w:val="000000" w:themeColor="text1"/>
          <w:sz w:val="20"/>
          <w:szCs w:val="20"/>
        </w:rPr>
        <w:t xml:space="preserve">*Please note that references to the IRS Form 1040 are for illustrative purposes only. The Internal Revenue Service updates their forms periodically and may relabel sections and boxes on </w:t>
      </w:r>
      <w:proofErr w:type="gramStart"/>
      <w:r w:rsidRPr="00844382">
        <w:rPr>
          <w:color w:val="000000" w:themeColor="text1"/>
          <w:sz w:val="20"/>
          <w:szCs w:val="20"/>
        </w:rPr>
        <w:t>the Form</w:t>
      </w:r>
      <w:proofErr w:type="gramEnd"/>
      <w:r w:rsidRPr="00844382">
        <w:rPr>
          <w:color w:val="000000" w:themeColor="text1"/>
          <w:sz w:val="20"/>
          <w:szCs w:val="20"/>
        </w:rPr>
        <w:t xml:space="preserve"> 1040. You can view the most current Form 1040 on the IRS website irs.gov.</w:t>
      </w:r>
      <w:r>
        <w:rPr>
          <w:color w:val="000000" w:themeColor="text1"/>
          <w:sz w:val="20"/>
          <w:szCs w:val="20"/>
        </w:rPr>
        <w:t xml:space="preserve"> Please consult with your tax preparer to ensure accurate reporting.</w:t>
      </w:r>
    </w:p>
    <w:p w14:paraId="6A751735" w14:textId="77777777" w:rsidR="004C2EB3" w:rsidRPr="00844382" w:rsidRDefault="004C2EB3" w:rsidP="00844382">
      <w:pPr>
        <w:jc w:val="both"/>
        <w:rPr>
          <w:color w:val="000000" w:themeColor="text1"/>
          <w:sz w:val="20"/>
          <w:szCs w:val="20"/>
        </w:rPr>
      </w:pPr>
    </w:p>
    <w:p w14:paraId="3E3358A2" w14:textId="77777777" w:rsidR="004C2EB3" w:rsidRDefault="004C2EB3"/>
    <w:p w14:paraId="60D72E08" w14:textId="77777777" w:rsidR="004C2EB3" w:rsidRPr="00844382" w:rsidRDefault="004C2EB3">
      <w:pPr>
        <w:rPr>
          <w:color w:val="000000" w:themeColor="text1"/>
        </w:rPr>
      </w:pPr>
    </w:p>
    <w:p w14:paraId="3F1FB219" w14:textId="77777777" w:rsidR="004C2EB3" w:rsidRDefault="004C2EB3"/>
    <w:p w14:paraId="2C8CB877" w14:textId="77777777" w:rsidR="004C2EB3" w:rsidRDefault="004C2EB3"/>
    <w:p w14:paraId="2907F4C6" w14:textId="0DA509FD" w:rsidR="004C2EB3" w:rsidRDefault="004C2EB3"/>
    <w:p w14:paraId="697B763B" w14:textId="4367FFAA" w:rsidR="004C2EB3" w:rsidRDefault="004C2EB3"/>
    <w:p w14:paraId="2FA1FBB1" w14:textId="565D4699" w:rsidR="004C2EB3" w:rsidRDefault="004C2EB3"/>
    <w:p w14:paraId="1298C431" w14:textId="6CF79D1F" w:rsidR="004C2EB3" w:rsidRDefault="004C2EB3"/>
    <w:p w14:paraId="582DDA8A" w14:textId="4FAC69D6" w:rsidR="00F20942" w:rsidRDefault="00F20942"/>
    <w:p w14:paraId="65F06B6F" w14:textId="1716444A" w:rsidR="00F20942" w:rsidRDefault="00F20942"/>
    <w:p w14:paraId="0BC97FE5" w14:textId="65C95F14" w:rsidR="004C2EB3" w:rsidRDefault="004C2EB3"/>
    <w:p w14:paraId="35A59E9F" w14:textId="2D5DDE42" w:rsidR="004C2EB3" w:rsidRDefault="004C2EB3"/>
    <w:p w14:paraId="052450CA" w14:textId="5D3BFB72" w:rsidR="00FD7D78" w:rsidRDefault="00FD7D78"/>
    <w:p w14:paraId="612A28BE" w14:textId="2969E32E" w:rsidR="00FD7D78" w:rsidRDefault="00FD7D78"/>
    <w:p w14:paraId="5E3D339A" w14:textId="6CF17741" w:rsidR="00FD7D78" w:rsidRDefault="00FD7D78"/>
    <w:p w14:paraId="0678F06D" w14:textId="68AC4A28" w:rsidR="00FD7D78" w:rsidRDefault="00FD7D78"/>
    <w:p w14:paraId="34A5C217" w14:textId="5613B2DD" w:rsidR="00FD7D78" w:rsidRDefault="00FD7D78"/>
    <w:p w14:paraId="4CC19F34" w14:textId="3B055C57" w:rsidR="00FD7D78" w:rsidRDefault="00FD7D78"/>
    <w:p w14:paraId="57B45643" w14:textId="3C5E2E51" w:rsidR="00FD7D78" w:rsidRDefault="00FD7D78"/>
    <w:p w14:paraId="0423BB70" w14:textId="69DA5B47" w:rsidR="00FD7D78" w:rsidRDefault="00FD7D78"/>
    <w:p w14:paraId="78EC9758" w14:textId="77777777" w:rsidR="00FD7D78" w:rsidRDefault="00FD7D78"/>
    <w:p w14:paraId="35F0C988" w14:textId="4E0A490E" w:rsidR="00F20942" w:rsidRPr="000575C6" w:rsidRDefault="00F20942" w:rsidP="004B1193">
      <w:pPr>
        <w:rPr>
          <w:rFonts w:ascii="Noto Sans" w:hAnsi="Noto Sans" w:cs="Noto Sans"/>
          <w:color w:val="17365D" w:themeColor="text2" w:themeShade="BF"/>
          <w:sz w:val="22"/>
          <w:szCs w:val="22"/>
        </w:rPr>
      </w:pPr>
    </w:p>
    <w:p w14:paraId="29A10E9E" w14:textId="77777777" w:rsidR="00844382" w:rsidRDefault="00844382" w:rsidP="000575C6">
      <w:pPr>
        <w:jc w:val="center"/>
        <w:rPr>
          <w:rFonts w:ascii="Noto Sans" w:hAnsi="Noto Sans" w:cs="Noto Sans"/>
          <w:color w:val="17365D" w:themeColor="text2" w:themeShade="BF"/>
          <w:sz w:val="22"/>
          <w:szCs w:val="22"/>
        </w:rPr>
      </w:pPr>
    </w:p>
    <w:p w14:paraId="62E14830" w14:textId="15599B21" w:rsidR="004B1193" w:rsidRDefault="004B1193" w:rsidP="000575C6">
      <w:pPr>
        <w:jc w:val="center"/>
        <w:rPr>
          <w:rFonts w:ascii="Noto Sans" w:hAnsi="Noto Sans" w:cs="Noto Sans"/>
          <w:color w:val="17365D" w:themeColor="text2" w:themeShade="BF"/>
          <w:sz w:val="22"/>
          <w:szCs w:val="22"/>
        </w:rPr>
      </w:pPr>
      <w:r>
        <w:rPr>
          <w:noProof/>
        </w:rPr>
        <mc:AlternateContent>
          <mc:Choice Requires="wps">
            <w:drawing>
              <wp:anchor distT="0" distB="0" distL="114300" distR="114300" simplePos="0" relativeHeight="251668480" behindDoc="0" locked="0" layoutInCell="1" allowOverlap="1" wp14:anchorId="199B3875" wp14:editId="35E1E260">
                <wp:simplePos x="0" y="0"/>
                <wp:positionH relativeFrom="column">
                  <wp:posOffset>146685</wp:posOffset>
                </wp:positionH>
                <wp:positionV relativeFrom="paragraph">
                  <wp:posOffset>552277</wp:posOffset>
                </wp:positionV>
                <wp:extent cx="5708073" cy="4710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708073" cy="471055"/>
                        </a:xfrm>
                        <a:prstGeom prst="rect">
                          <a:avLst/>
                        </a:prstGeom>
                        <a:noFill/>
                        <a:ln w="6350">
                          <a:noFill/>
                        </a:ln>
                      </wps:spPr>
                      <wps:txbx>
                        <w:txbxContent>
                          <w:p w14:paraId="5BE53FF8" w14:textId="77777777" w:rsidR="004B1193" w:rsidRPr="000575C6" w:rsidRDefault="004B1193" w:rsidP="004B1193">
                            <w:pPr>
                              <w:jc w:val="center"/>
                              <w:rPr>
                                <w:rFonts w:ascii="Noto Sans" w:hAnsi="Noto Sans" w:cs="Noto Sans"/>
                                <w:color w:val="17365D" w:themeColor="text2" w:themeShade="BF"/>
                                <w:sz w:val="22"/>
                                <w:szCs w:val="22"/>
                              </w:rPr>
                            </w:pPr>
                            <w:r w:rsidRPr="000575C6">
                              <w:rPr>
                                <w:rFonts w:ascii="Noto Sans" w:hAnsi="Noto Sans" w:cs="Noto Sans"/>
                                <w:color w:val="17365D" w:themeColor="text2" w:themeShade="BF"/>
                                <w:sz w:val="22"/>
                                <w:szCs w:val="22"/>
                              </w:rPr>
                              <w:t>9705 Patuxent Woods Drive • Columbia, MD 21046 • (443) 391-7300</w:t>
                            </w:r>
                          </w:p>
                          <w:p w14:paraId="04D3E357" w14:textId="77777777" w:rsidR="004B1193" w:rsidRDefault="004B1193" w:rsidP="004B1193">
                            <w:pPr>
                              <w:jc w:val="center"/>
                              <w:rPr>
                                <w:rFonts w:ascii="Noto Sans" w:hAnsi="Noto Sans" w:cs="Noto Sans"/>
                                <w:color w:val="17365D" w:themeColor="text2" w:themeShade="BF"/>
                                <w:sz w:val="22"/>
                                <w:szCs w:val="22"/>
                              </w:rPr>
                            </w:pPr>
                            <w:r>
                              <w:rPr>
                                <w:rFonts w:ascii="Noto Sans" w:hAnsi="Noto Sans" w:cs="Noto Sans"/>
                                <w:color w:val="17365D" w:themeColor="text2" w:themeShade="BF"/>
                                <w:sz w:val="22"/>
                                <w:szCs w:val="22"/>
                              </w:rPr>
                              <w:t xml:space="preserve">Email: </w:t>
                            </w:r>
                            <w:r w:rsidRPr="000575C6">
                              <w:rPr>
                                <w:rFonts w:ascii="Noto Sans" w:hAnsi="Noto Sans" w:cs="Noto Sans"/>
                                <w:color w:val="17365D" w:themeColor="text2" w:themeShade="BF"/>
                                <w:sz w:val="22"/>
                                <w:szCs w:val="22"/>
                              </w:rPr>
                              <w:t xml:space="preserve">NADRetirement@nadadventist.org • adventistretirement.org           </w:t>
                            </w:r>
                          </w:p>
                          <w:p w14:paraId="0DA1B964" w14:textId="77777777" w:rsidR="004B1193" w:rsidRDefault="004B1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B3875" id="_x0000_t202" coordsize="21600,21600" o:spt="202" path="m,l,21600r21600,l21600,xe">
                <v:stroke joinstyle="miter"/>
                <v:path gradientshapeok="t" o:connecttype="rect"/>
              </v:shapetype>
              <v:shape id="Text Box 7" o:spid="_x0000_s1026" type="#_x0000_t202" style="position:absolute;left:0;text-align:left;margin-left:11.55pt;margin-top:43.5pt;width:449.45pt;height:37.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a4GAIAACw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" filled="f" stroked="f" strokeweight=".5pt">
                <v:textbox>
                  <w:txbxContent>
                    <w:p w14:paraId="5BE53FF8" w14:textId="77777777" w:rsidR="004B1193" w:rsidRPr="000575C6" w:rsidRDefault="004B1193" w:rsidP="004B1193">
                      <w:pPr>
                        <w:jc w:val="center"/>
                        <w:rPr>
                          <w:rFonts w:ascii="Noto Sans" w:hAnsi="Noto Sans" w:cs="Noto Sans"/>
                          <w:color w:val="17365D" w:themeColor="text2" w:themeShade="BF"/>
                          <w:sz w:val="22"/>
                          <w:szCs w:val="22"/>
                        </w:rPr>
                      </w:pPr>
                      <w:r w:rsidRPr="000575C6">
                        <w:rPr>
                          <w:rFonts w:ascii="Noto Sans" w:hAnsi="Noto Sans" w:cs="Noto Sans"/>
                          <w:color w:val="17365D" w:themeColor="text2" w:themeShade="BF"/>
                          <w:sz w:val="22"/>
                          <w:szCs w:val="22"/>
                        </w:rPr>
                        <w:t>9705 Patuxent Woods Drive • Columbia, MD 21046 • (443) 391-7300</w:t>
                      </w:r>
                    </w:p>
                    <w:p w14:paraId="04D3E357" w14:textId="77777777" w:rsidR="004B1193" w:rsidRDefault="004B1193" w:rsidP="004B1193">
                      <w:pPr>
                        <w:jc w:val="center"/>
                        <w:rPr>
                          <w:rFonts w:ascii="Noto Sans" w:hAnsi="Noto Sans" w:cs="Noto Sans"/>
                          <w:color w:val="17365D" w:themeColor="text2" w:themeShade="BF"/>
                          <w:sz w:val="22"/>
                          <w:szCs w:val="22"/>
                        </w:rPr>
                      </w:pPr>
                      <w:r>
                        <w:rPr>
                          <w:rFonts w:ascii="Noto Sans" w:hAnsi="Noto Sans" w:cs="Noto Sans"/>
                          <w:color w:val="17365D" w:themeColor="text2" w:themeShade="BF"/>
                          <w:sz w:val="22"/>
                          <w:szCs w:val="22"/>
                        </w:rPr>
                        <w:t xml:space="preserve">Email: </w:t>
                      </w:r>
                      <w:r w:rsidRPr="000575C6">
                        <w:rPr>
                          <w:rFonts w:ascii="Noto Sans" w:hAnsi="Noto Sans" w:cs="Noto Sans"/>
                          <w:color w:val="17365D" w:themeColor="text2" w:themeShade="BF"/>
                          <w:sz w:val="22"/>
                          <w:szCs w:val="22"/>
                        </w:rPr>
                        <w:t xml:space="preserve">NADRetirement@nadadventist.org • adventistretirement.org           </w:t>
                      </w:r>
                    </w:p>
                    <w:p w14:paraId="0DA1B964" w14:textId="77777777" w:rsidR="004B1193" w:rsidRDefault="004B1193"/>
                  </w:txbxContent>
                </v:textbox>
              </v:shape>
            </w:pict>
          </mc:Fallback>
        </mc:AlternateContent>
      </w:r>
    </w:p>
    <w:p w14:paraId="1E68D61E" w14:textId="7414F3FE" w:rsidR="004B1193" w:rsidRPr="000575C6" w:rsidRDefault="004B1193" w:rsidP="000575C6">
      <w:pPr>
        <w:jc w:val="center"/>
        <w:rPr>
          <w:rFonts w:ascii="Noto Sans" w:hAnsi="Noto Sans" w:cs="Noto Sans"/>
          <w:color w:val="17365D" w:themeColor="text2" w:themeShade="BF"/>
          <w:sz w:val="22"/>
          <w:szCs w:val="22"/>
        </w:rPr>
        <w:sectPr w:rsidR="004B1193" w:rsidRPr="000575C6" w:rsidSect="00401B65">
          <w:type w:val="continuous"/>
          <w:pgSz w:w="12240" w:h="15840"/>
          <w:pgMar w:top="1008" w:right="1440" w:bottom="1008" w:left="1440" w:header="446" w:footer="634" w:gutter="0"/>
          <w:cols w:space="720"/>
          <w:noEndnote/>
        </w:sectPr>
      </w:pPr>
    </w:p>
    <w:p w14:paraId="45AE1F15" w14:textId="37F2B852" w:rsidR="00CA4708" w:rsidRDefault="009900AD" w:rsidP="00192A02">
      <w:pPr>
        <w:tabs>
          <w:tab w:val="center" w:pos="4680"/>
        </w:tabs>
        <w:rPr>
          <w:rFonts w:ascii="Noto Sans" w:hAnsi="Noto Sans" w:cs="Noto Sans"/>
          <w:b/>
          <w:bCs/>
          <w:color w:val="4F81BD" w:themeColor="accent1"/>
          <w:sz w:val="32"/>
          <w:szCs w:val="32"/>
        </w:rPr>
      </w:pPr>
      <w:r>
        <w:rPr>
          <w:rFonts w:ascii="Noto Sans" w:hAnsi="Noto Sans" w:cs="Noto Sans"/>
          <w:b/>
          <w:bCs/>
          <w:noProof/>
          <w:color w:val="4F81BD" w:themeColor="accent1"/>
          <w:sz w:val="32"/>
          <w:szCs w:val="32"/>
        </w:rPr>
        <w:drawing>
          <wp:anchor distT="0" distB="0" distL="114300" distR="114300" simplePos="0" relativeHeight="251670528" behindDoc="1" locked="0" layoutInCell="1" allowOverlap="1" wp14:anchorId="42A8D4F2" wp14:editId="3D248692">
            <wp:simplePos x="0" y="0"/>
            <wp:positionH relativeFrom="column">
              <wp:posOffset>0</wp:posOffset>
            </wp:positionH>
            <wp:positionV relativeFrom="paragraph">
              <wp:posOffset>277495</wp:posOffset>
            </wp:positionV>
            <wp:extent cx="886460" cy="886460"/>
            <wp:effectExtent l="0" t="0" r="0" b="0"/>
            <wp:wrapSquare wrapText="bothSides"/>
            <wp:docPr id="10" name="Graphic 10"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QAdSYu.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86460" cy="886460"/>
                    </a:xfrm>
                    <a:prstGeom prst="rect">
                      <a:avLst/>
                    </a:prstGeom>
                  </pic:spPr>
                </pic:pic>
              </a:graphicData>
            </a:graphic>
            <wp14:sizeRelH relativeFrom="page">
              <wp14:pctWidth>0</wp14:pctWidth>
            </wp14:sizeRelH>
            <wp14:sizeRelV relativeFrom="page">
              <wp14:pctHeight>0</wp14:pctHeight>
            </wp14:sizeRelV>
          </wp:anchor>
        </w:drawing>
      </w:r>
    </w:p>
    <w:p w14:paraId="63B12910" w14:textId="0F75DED8" w:rsidR="00125E5F" w:rsidRPr="004B1193" w:rsidRDefault="00125E5F" w:rsidP="00192A02">
      <w:pPr>
        <w:tabs>
          <w:tab w:val="center" w:pos="4680"/>
        </w:tabs>
        <w:rPr>
          <w:rFonts w:ascii="Noto Sans" w:hAnsi="Noto Sans" w:cs="Noto Sans"/>
          <w:b/>
          <w:bCs/>
          <w:color w:val="0063AF"/>
          <w:sz w:val="32"/>
          <w:szCs w:val="32"/>
        </w:rPr>
      </w:pPr>
      <w:r w:rsidRPr="00F20942">
        <w:rPr>
          <w:rFonts w:ascii="Noto Sans" w:hAnsi="Noto Sans" w:cs="Noto Sans"/>
          <w:b/>
          <w:bCs/>
          <w:color w:val="4F81BD" w:themeColor="accent1"/>
          <w:sz w:val="32"/>
          <w:szCs w:val="32"/>
        </w:rPr>
        <w:t xml:space="preserve">Frequently Asked Questions </w:t>
      </w:r>
      <w:r w:rsidR="00B76286" w:rsidRPr="00F20942">
        <w:rPr>
          <w:rFonts w:ascii="Noto Sans" w:hAnsi="Noto Sans" w:cs="Noto Sans"/>
          <w:b/>
          <w:bCs/>
          <w:color w:val="4F81BD" w:themeColor="accent1"/>
          <w:sz w:val="32"/>
          <w:szCs w:val="32"/>
        </w:rPr>
        <w:t>About</w:t>
      </w:r>
      <w:r w:rsidRPr="00F20942">
        <w:rPr>
          <w:rFonts w:ascii="Noto Sans" w:hAnsi="Noto Sans" w:cs="Noto Sans"/>
          <w:b/>
          <w:bCs/>
          <w:color w:val="4F81BD" w:themeColor="accent1"/>
          <w:sz w:val="32"/>
          <w:szCs w:val="32"/>
        </w:rPr>
        <w:t xml:space="preserve"> Parsonage Allowance Exclusion</w:t>
      </w:r>
    </w:p>
    <w:p w14:paraId="1E814878" w14:textId="77777777" w:rsidR="00814251" w:rsidRPr="00B32221" w:rsidRDefault="00814251" w:rsidP="00454BFE">
      <w:pPr>
        <w:pStyle w:val="Level1"/>
        <w:tabs>
          <w:tab w:val="left" w:pos="-1440"/>
          <w:tab w:val="num" w:pos="0"/>
        </w:tabs>
        <w:ind w:left="0" w:firstLine="0"/>
        <w:rPr>
          <w:rFonts w:ascii="Noto Sans" w:hAnsi="Noto Sans" w:cs="Noto Sans"/>
          <w:b/>
          <w:sz w:val="16"/>
          <w:szCs w:val="16"/>
        </w:rPr>
      </w:pPr>
    </w:p>
    <w:p w14:paraId="60C5EE85" w14:textId="1870A45D" w:rsidR="00125E5F" w:rsidRPr="004C2EB3" w:rsidRDefault="00125E5F" w:rsidP="00454BFE">
      <w:pPr>
        <w:pStyle w:val="Level1"/>
        <w:tabs>
          <w:tab w:val="left" w:pos="-1440"/>
          <w:tab w:val="num" w:pos="0"/>
        </w:tabs>
        <w:ind w:left="0" w:firstLine="0"/>
        <w:rPr>
          <w:rFonts w:ascii="Arial Narrow" w:hAnsi="Arial Narrow"/>
          <w:b/>
          <w:bCs/>
        </w:rPr>
      </w:pPr>
      <w:r w:rsidRPr="004C2EB3">
        <w:rPr>
          <w:rFonts w:ascii="Arial Narrow" w:hAnsi="Arial Narrow"/>
          <w:b/>
          <w:bCs/>
        </w:rPr>
        <w:t>I</w:t>
      </w:r>
      <w:r w:rsidR="003338E0" w:rsidRPr="004C2EB3">
        <w:rPr>
          <w:rFonts w:ascii="Arial Narrow" w:hAnsi="Arial Narrow"/>
          <w:b/>
          <w:bCs/>
        </w:rPr>
        <w:t xml:space="preserve"> have</w:t>
      </w:r>
      <w:r w:rsidRPr="004C2EB3">
        <w:rPr>
          <w:rFonts w:ascii="Arial Narrow" w:hAnsi="Arial Narrow"/>
          <w:b/>
          <w:bCs/>
        </w:rPr>
        <w:t xml:space="preserve"> paid my mortgage off and thus have no monthly payments on my home. Can I use the </w:t>
      </w:r>
      <w:r w:rsidR="00BE4174" w:rsidRPr="004C2EB3">
        <w:rPr>
          <w:rFonts w:ascii="Arial Narrow" w:hAnsi="Arial Narrow"/>
          <w:b/>
          <w:bCs/>
        </w:rPr>
        <w:t>“</w:t>
      </w:r>
      <w:r w:rsidRPr="004C2EB3">
        <w:rPr>
          <w:rFonts w:ascii="Arial Narrow" w:hAnsi="Arial Narrow"/>
          <w:b/>
          <w:bCs/>
        </w:rPr>
        <w:t>Fair Rental Value</w:t>
      </w:r>
      <w:r w:rsidR="00BE4174" w:rsidRPr="004C2EB3">
        <w:rPr>
          <w:rFonts w:ascii="Arial Narrow" w:hAnsi="Arial Narrow"/>
          <w:b/>
          <w:bCs/>
        </w:rPr>
        <w:t>”</w:t>
      </w:r>
      <w:r w:rsidRPr="004C2EB3">
        <w:rPr>
          <w:rFonts w:ascii="Arial Narrow" w:hAnsi="Arial Narrow"/>
          <w:b/>
          <w:bCs/>
        </w:rPr>
        <w:t xml:space="preserve"> as an expense to increase my parsonage expenses?</w:t>
      </w:r>
    </w:p>
    <w:p w14:paraId="245C56BC" w14:textId="77777777" w:rsidR="00B76286" w:rsidRPr="004C2EB3" w:rsidRDefault="00B76286" w:rsidP="00192A02">
      <w:pPr>
        <w:rPr>
          <w:rFonts w:ascii="Arial Narrow" w:hAnsi="Arial Narrow"/>
        </w:rPr>
      </w:pPr>
    </w:p>
    <w:p w14:paraId="05782BCA" w14:textId="77777777" w:rsidR="00125E5F" w:rsidRPr="004C2EB3" w:rsidRDefault="00125E5F" w:rsidP="00192A02">
      <w:pPr>
        <w:rPr>
          <w:rFonts w:ascii="Arial Narrow" w:hAnsi="Arial Narrow"/>
        </w:rPr>
      </w:pPr>
      <w:r w:rsidRPr="004C2EB3">
        <w:rPr>
          <w:rFonts w:ascii="Arial Narrow" w:hAnsi="Arial Narrow"/>
        </w:rPr>
        <w:t>No.</w:t>
      </w:r>
      <w:r w:rsidR="00B3243F" w:rsidRPr="004C2EB3">
        <w:rPr>
          <w:rFonts w:ascii="Arial Narrow" w:hAnsi="Arial Narrow"/>
        </w:rPr>
        <w:t xml:space="preserve"> </w:t>
      </w:r>
      <w:r w:rsidRPr="004C2EB3">
        <w:rPr>
          <w:rFonts w:ascii="Arial Narrow" w:hAnsi="Arial Narrow"/>
        </w:rPr>
        <w:t xml:space="preserve">The IRS only allows you to use </w:t>
      </w:r>
      <w:r w:rsidRPr="004C2EB3">
        <w:rPr>
          <w:rFonts w:ascii="Arial Narrow" w:hAnsi="Arial Narrow"/>
          <w:u w:val="single"/>
        </w:rPr>
        <w:t>actual</w:t>
      </w:r>
      <w:r w:rsidRPr="004C2EB3">
        <w:rPr>
          <w:rFonts w:ascii="Arial Narrow" w:hAnsi="Arial Narrow"/>
        </w:rPr>
        <w:t xml:space="preserve"> expenditures for exclusion from taxable income. Fair Rental Value is a LIMIT only. </w:t>
      </w:r>
    </w:p>
    <w:p w14:paraId="6E348E6A" w14:textId="77777777" w:rsidR="00B76286" w:rsidRPr="004C2EB3" w:rsidRDefault="00B76286">
      <w:pPr>
        <w:pStyle w:val="Level1"/>
        <w:tabs>
          <w:tab w:val="left" w:pos="-1440"/>
          <w:tab w:val="num" w:pos="720"/>
        </w:tabs>
        <w:rPr>
          <w:rFonts w:ascii="Arial Narrow" w:hAnsi="Arial Narrow"/>
          <w:b/>
          <w:bCs/>
        </w:rPr>
      </w:pPr>
    </w:p>
    <w:p w14:paraId="714874E3" w14:textId="43EB31AF" w:rsidR="00125E5F" w:rsidRPr="004C2EB3" w:rsidRDefault="00125E5F">
      <w:pPr>
        <w:pStyle w:val="Level1"/>
        <w:tabs>
          <w:tab w:val="left" w:pos="-1440"/>
          <w:tab w:val="num" w:pos="720"/>
        </w:tabs>
        <w:rPr>
          <w:rFonts w:ascii="Arial Narrow" w:hAnsi="Arial Narrow"/>
          <w:b/>
          <w:bCs/>
        </w:rPr>
      </w:pPr>
      <w:r w:rsidRPr="004C2EB3">
        <w:rPr>
          <w:rFonts w:ascii="Arial Narrow" w:hAnsi="Arial Narrow"/>
          <w:b/>
          <w:bCs/>
        </w:rPr>
        <w:t xml:space="preserve">I got more than one 1099 form from you. Which </w:t>
      </w:r>
      <w:r w:rsidR="0010640D" w:rsidRPr="004C2EB3">
        <w:rPr>
          <w:rFonts w:ascii="Arial Narrow" w:hAnsi="Arial Narrow"/>
          <w:b/>
          <w:bCs/>
        </w:rPr>
        <w:t>is</w:t>
      </w:r>
      <w:r w:rsidRPr="004C2EB3">
        <w:rPr>
          <w:rFonts w:ascii="Arial Narrow" w:hAnsi="Arial Narrow"/>
          <w:b/>
          <w:bCs/>
        </w:rPr>
        <w:t xml:space="preserve"> eligible for</w:t>
      </w:r>
      <w:r w:rsidR="0010640D" w:rsidRPr="004C2EB3">
        <w:rPr>
          <w:rFonts w:ascii="Arial Narrow" w:hAnsi="Arial Narrow"/>
          <w:b/>
          <w:bCs/>
        </w:rPr>
        <w:t xml:space="preserve"> Parsonage Allowance</w:t>
      </w:r>
      <w:r w:rsidRPr="004C2EB3">
        <w:rPr>
          <w:rFonts w:ascii="Arial Narrow" w:hAnsi="Arial Narrow"/>
          <w:b/>
          <w:bCs/>
        </w:rPr>
        <w:t xml:space="preserve"> Exclusion?</w:t>
      </w:r>
    </w:p>
    <w:p w14:paraId="03B91663" w14:textId="77777777" w:rsidR="00A17D19" w:rsidRPr="004C2EB3" w:rsidRDefault="00A17D19" w:rsidP="00B76286">
      <w:pPr>
        <w:pStyle w:val="a"/>
        <w:tabs>
          <w:tab w:val="left" w:pos="-1440"/>
        </w:tabs>
        <w:ind w:left="0" w:firstLine="0"/>
        <w:rPr>
          <w:rFonts w:ascii="Arial Narrow" w:hAnsi="Arial Narrow"/>
        </w:rPr>
      </w:pPr>
    </w:p>
    <w:p w14:paraId="5A888495" w14:textId="77777777" w:rsidR="00B32221" w:rsidRDefault="00125E5F" w:rsidP="00B76286">
      <w:pPr>
        <w:pStyle w:val="a"/>
        <w:tabs>
          <w:tab w:val="left" w:pos="-1440"/>
        </w:tabs>
        <w:ind w:left="0" w:firstLine="0"/>
        <w:rPr>
          <w:rFonts w:ascii="Arial Narrow" w:hAnsi="Arial Narrow"/>
        </w:rPr>
      </w:pPr>
      <w:r w:rsidRPr="004C2EB3">
        <w:rPr>
          <w:rFonts w:ascii="Arial Narrow" w:hAnsi="Arial Narrow"/>
        </w:rPr>
        <w:t xml:space="preserve">1099-R has a </w:t>
      </w:r>
      <w:r w:rsidR="00BE4174" w:rsidRPr="004C2EB3">
        <w:rPr>
          <w:rFonts w:ascii="Arial Narrow" w:hAnsi="Arial Narrow"/>
        </w:rPr>
        <w:t>“</w:t>
      </w:r>
      <w:r w:rsidRPr="004C2EB3">
        <w:rPr>
          <w:rFonts w:ascii="Arial Narrow" w:hAnsi="Arial Narrow"/>
        </w:rPr>
        <w:t>7" in the Distribution Code box.</w:t>
      </w:r>
      <w:r w:rsidR="00B91D6B" w:rsidRPr="004C2EB3">
        <w:rPr>
          <w:rFonts w:ascii="Arial Narrow" w:hAnsi="Arial Narrow"/>
        </w:rPr>
        <w:t xml:space="preserve"> This is for your </w:t>
      </w:r>
      <w:r w:rsidRPr="004C2EB3">
        <w:rPr>
          <w:rFonts w:ascii="Arial Narrow" w:hAnsi="Arial Narrow"/>
        </w:rPr>
        <w:t>Monthly benefits</w:t>
      </w:r>
      <w:r w:rsidR="00B91D6B" w:rsidRPr="004C2EB3">
        <w:rPr>
          <w:rFonts w:ascii="Arial Narrow" w:hAnsi="Arial Narrow"/>
        </w:rPr>
        <w:t xml:space="preserve"> plus the one-time lump sum Retirement Allowance if this was your </w:t>
      </w:r>
      <w:r w:rsidR="00DF10E2" w:rsidRPr="004C2EB3">
        <w:rPr>
          <w:rFonts w:ascii="Arial Narrow" w:hAnsi="Arial Narrow"/>
        </w:rPr>
        <w:t xml:space="preserve">retirement </w:t>
      </w:r>
      <w:r w:rsidR="00B91D6B" w:rsidRPr="004C2EB3">
        <w:rPr>
          <w:rFonts w:ascii="Arial Narrow" w:hAnsi="Arial Narrow"/>
        </w:rPr>
        <w:t>year</w:t>
      </w:r>
      <w:r w:rsidR="0010640D" w:rsidRPr="004C2EB3">
        <w:rPr>
          <w:rFonts w:ascii="Arial Narrow" w:hAnsi="Arial Narrow"/>
        </w:rPr>
        <w:t xml:space="preserve"> and</w:t>
      </w:r>
      <w:r w:rsidR="00B91D6B" w:rsidRPr="004C2EB3">
        <w:rPr>
          <w:rFonts w:ascii="Arial Narrow" w:hAnsi="Arial Narrow"/>
        </w:rPr>
        <w:t xml:space="preserve"> you were eligible</w:t>
      </w:r>
      <w:r w:rsidR="0010640D" w:rsidRPr="004C2EB3">
        <w:rPr>
          <w:rFonts w:ascii="Arial Narrow" w:hAnsi="Arial Narrow"/>
        </w:rPr>
        <w:t xml:space="preserve"> for the RA</w:t>
      </w:r>
      <w:r w:rsidRPr="004C2EB3">
        <w:rPr>
          <w:rFonts w:ascii="Arial Narrow" w:hAnsi="Arial Narrow"/>
        </w:rPr>
        <w:t xml:space="preserve">. </w:t>
      </w:r>
      <w:r w:rsidR="006C5CC3" w:rsidRPr="004C2EB3">
        <w:rPr>
          <w:rFonts w:ascii="Arial Narrow" w:hAnsi="Arial Narrow"/>
        </w:rPr>
        <w:t>“</w:t>
      </w:r>
      <w:r w:rsidRPr="004C2EB3">
        <w:rPr>
          <w:rFonts w:ascii="Arial Narrow" w:hAnsi="Arial Narrow"/>
        </w:rPr>
        <w:t>x</w:t>
      </w:r>
      <w:r w:rsidR="006C5CC3" w:rsidRPr="004C2EB3">
        <w:rPr>
          <w:rFonts w:ascii="Arial Narrow" w:hAnsi="Arial Narrow"/>
        </w:rPr>
        <w:t>”</w:t>
      </w:r>
      <w:r w:rsidRPr="004C2EB3">
        <w:rPr>
          <w:rFonts w:ascii="Arial Narrow" w:hAnsi="Arial Narrow"/>
        </w:rPr>
        <w:t xml:space="preserve"> in </w:t>
      </w:r>
      <w:proofErr w:type="gramStart"/>
      <w:r w:rsidRPr="004C2EB3">
        <w:rPr>
          <w:rFonts w:ascii="Arial Narrow" w:hAnsi="Arial Narrow"/>
        </w:rPr>
        <w:t>box</w:t>
      </w:r>
      <w:proofErr w:type="gramEnd"/>
      <w:r w:rsidRPr="004C2EB3">
        <w:rPr>
          <w:rFonts w:ascii="Arial Narrow" w:hAnsi="Arial Narrow"/>
        </w:rPr>
        <w:t xml:space="preserve"> </w:t>
      </w:r>
    </w:p>
    <w:p w14:paraId="6E9C996C" w14:textId="0CEF7C84" w:rsidR="00125E5F" w:rsidRPr="004C2EB3" w:rsidRDefault="00125E5F" w:rsidP="00B76286">
      <w:pPr>
        <w:pStyle w:val="a"/>
        <w:tabs>
          <w:tab w:val="left" w:pos="-1440"/>
        </w:tabs>
        <w:ind w:left="0" w:firstLine="0"/>
        <w:rPr>
          <w:rFonts w:ascii="Arial Narrow" w:hAnsi="Arial Narrow"/>
        </w:rPr>
      </w:pPr>
      <w:r w:rsidRPr="004C2EB3">
        <w:rPr>
          <w:rFonts w:ascii="Arial Narrow" w:hAnsi="Arial Narrow"/>
        </w:rPr>
        <w:t>2b. Eligible for exclusion</w:t>
      </w:r>
    </w:p>
    <w:p w14:paraId="09A16066" w14:textId="77777777" w:rsidR="00B32221" w:rsidRPr="00B32221" w:rsidRDefault="00B32221" w:rsidP="00A17D19">
      <w:pPr>
        <w:pStyle w:val="a"/>
        <w:tabs>
          <w:tab w:val="left" w:pos="-1440"/>
        </w:tabs>
        <w:ind w:left="0" w:firstLine="0"/>
        <w:rPr>
          <w:rFonts w:ascii="Arial Narrow" w:hAnsi="Arial Narrow"/>
          <w:sz w:val="16"/>
          <w:szCs w:val="16"/>
        </w:rPr>
      </w:pPr>
    </w:p>
    <w:p w14:paraId="08B6ACB0" w14:textId="42531D8C" w:rsidR="00125E5F" w:rsidRPr="004C2EB3" w:rsidRDefault="00125E5F" w:rsidP="00A17D19">
      <w:pPr>
        <w:pStyle w:val="a"/>
        <w:tabs>
          <w:tab w:val="left" w:pos="-1440"/>
        </w:tabs>
        <w:ind w:left="0" w:firstLine="0"/>
        <w:rPr>
          <w:rFonts w:ascii="Arial Narrow" w:hAnsi="Arial Narrow"/>
        </w:rPr>
      </w:pPr>
      <w:r w:rsidRPr="004C2EB3">
        <w:rPr>
          <w:rFonts w:ascii="Arial Narrow" w:hAnsi="Arial Narrow"/>
        </w:rPr>
        <w:t xml:space="preserve">1099-R has a </w:t>
      </w:r>
      <w:r w:rsidR="006C5CC3" w:rsidRPr="004C2EB3">
        <w:rPr>
          <w:rFonts w:ascii="Arial Narrow" w:hAnsi="Arial Narrow"/>
        </w:rPr>
        <w:t>“</w:t>
      </w:r>
      <w:r w:rsidRPr="004C2EB3">
        <w:rPr>
          <w:rFonts w:ascii="Arial Narrow" w:hAnsi="Arial Narrow"/>
        </w:rPr>
        <w:t>G</w:t>
      </w:r>
      <w:r w:rsidR="006C5CC3" w:rsidRPr="004C2EB3">
        <w:rPr>
          <w:rFonts w:ascii="Arial Narrow" w:hAnsi="Arial Narrow"/>
        </w:rPr>
        <w:t>”</w:t>
      </w:r>
      <w:r w:rsidRPr="004C2EB3">
        <w:rPr>
          <w:rFonts w:ascii="Arial Narrow" w:hAnsi="Arial Narrow"/>
        </w:rPr>
        <w:t xml:space="preserve"> in the Distribution Code box. We rolled a Retireme</w:t>
      </w:r>
      <w:r w:rsidR="00192A02" w:rsidRPr="004C2EB3">
        <w:rPr>
          <w:rFonts w:ascii="Arial Narrow" w:hAnsi="Arial Narrow"/>
        </w:rPr>
        <w:t xml:space="preserve">nt Allowance into an Individual </w:t>
      </w:r>
      <w:r w:rsidRPr="004C2EB3">
        <w:rPr>
          <w:rFonts w:ascii="Arial Narrow" w:hAnsi="Arial Narrow"/>
        </w:rPr>
        <w:t>Retirement Account at your request. Not taxable at this time. Not eligible for exclusion.</w:t>
      </w:r>
    </w:p>
    <w:p w14:paraId="630B9781" w14:textId="77777777" w:rsidR="00814251" w:rsidRPr="004C2EB3" w:rsidRDefault="00814251" w:rsidP="00A17D19">
      <w:pPr>
        <w:pStyle w:val="Level1"/>
        <w:tabs>
          <w:tab w:val="left" w:pos="-1440"/>
          <w:tab w:val="num" w:pos="0"/>
        </w:tabs>
        <w:ind w:left="0" w:firstLine="720"/>
        <w:rPr>
          <w:rFonts w:ascii="Arial Narrow" w:hAnsi="Arial Narrow"/>
        </w:rPr>
      </w:pPr>
    </w:p>
    <w:p w14:paraId="4EC01936" w14:textId="77777777" w:rsidR="00125E5F" w:rsidRPr="004C2EB3" w:rsidRDefault="00125E5F" w:rsidP="00454BFE">
      <w:pPr>
        <w:pStyle w:val="Level1"/>
        <w:tabs>
          <w:tab w:val="left" w:pos="-1440"/>
          <w:tab w:val="num" w:pos="0"/>
        </w:tabs>
        <w:ind w:left="0" w:firstLine="0"/>
        <w:rPr>
          <w:rFonts w:ascii="Arial Narrow" w:hAnsi="Arial Narrow"/>
          <w:b/>
          <w:bCs/>
        </w:rPr>
      </w:pPr>
      <w:r w:rsidRPr="004C2EB3">
        <w:rPr>
          <w:rFonts w:ascii="Arial Narrow" w:hAnsi="Arial Narrow"/>
          <w:b/>
          <w:bCs/>
        </w:rPr>
        <w:t xml:space="preserve">For part of </w:t>
      </w:r>
      <w:r w:rsidR="00DF2D68" w:rsidRPr="004C2EB3">
        <w:rPr>
          <w:rFonts w:ascii="Arial Narrow" w:hAnsi="Arial Narrow"/>
          <w:b/>
          <w:bCs/>
        </w:rPr>
        <w:t xml:space="preserve">this </w:t>
      </w:r>
      <w:proofErr w:type="gramStart"/>
      <w:r w:rsidR="00DF2D68" w:rsidRPr="004C2EB3">
        <w:rPr>
          <w:rFonts w:ascii="Arial Narrow" w:hAnsi="Arial Narrow"/>
          <w:b/>
          <w:bCs/>
        </w:rPr>
        <w:t>year</w:t>
      </w:r>
      <w:proofErr w:type="gramEnd"/>
      <w:r w:rsidRPr="004C2EB3">
        <w:rPr>
          <w:rFonts w:ascii="Arial Narrow" w:hAnsi="Arial Narrow"/>
          <w:b/>
          <w:bCs/>
        </w:rPr>
        <w:t xml:space="preserve"> I worked for a local conference. Is it possible to coordinate my exclusion for the year between the retirement plan and the conference?</w:t>
      </w:r>
    </w:p>
    <w:p w14:paraId="3A94154B" w14:textId="77777777" w:rsidR="00A17D19" w:rsidRPr="004C2EB3" w:rsidRDefault="00A17D19" w:rsidP="00192A02">
      <w:pPr>
        <w:rPr>
          <w:rFonts w:ascii="Arial Narrow" w:hAnsi="Arial Narrow"/>
        </w:rPr>
      </w:pPr>
    </w:p>
    <w:p w14:paraId="5E01AE91" w14:textId="77777777" w:rsidR="00125E5F" w:rsidRPr="004C2EB3" w:rsidRDefault="00125E5F" w:rsidP="00192A02">
      <w:pPr>
        <w:rPr>
          <w:rFonts w:ascii="Arial Narrow" w:hAnsi="Arial Narrow"/>
        </w:rPr>
      </w:pPr>
      <w:r w:rsidRPr="004C2EB3">
        <w:rPr>
          <w:rFonts w:ascii="Arial Narrow" w:hAnsi="Arial Narrow"/>
        </w:rPr>
        <w:t xml:space="preserve">Yes. When you report to the conference your housing expenses to be excluded from your W-2 income, you may wish to report only those expenses that exceed your benefits from this office. You should not reduce both your W-2 income from the conference and your taxable income from this office by using the same expenses.  </w:t>
      </w:r>
    </w:p>
    <w:p w14:paraId="0192E618" w14:textId="77777777" w:rsidR="00814251" w:rsidRPr="004C2EB3" w:rsidRDefault="00814251">
      <w:pPr>
        <w:pStyle w:val="Level1"/>
        <w:tabs>
          <w:tab w:val="left" w:pos="-1440"/>
          <w:tab w:val="num" w:pos="720"/>
        </w:tabs>
        <w:rPr>
          <w:rFonts w:ascii="Arial Narrow" w:hAnsi="Arial Narrow"/>
        </w:rPr>
      </w:pPr>
    </w:p>
    <w:p w14:paraId="7B91CC08" w14:textId="77777777" w:rsidR="00125E5F" w:rsidRPr="004C2EB3" w:rsidRDefault="00125E5F">
      <w:pPr>
        <w:pStyle w:val="Level1"/>
        <w:tabs>
          <w:tab w:val="left" w:pos="-1440"/>
          <w:tab w:val="num" w:pos="720"/>
        </w:tabs>
        <w:rPr>
          <w:rFonts w:ascii="Arial Narrow" w:hAnsi="Arial Narrow"/>
          <w:b/>
          <w:bCs/>
        </w:rPr>
      </w:pPr>
      <w:r w:rsidRPr="004C2EB3">
        <w:rPr>
          <w:rFonts w:ascii="Arial Narrow" w:hAnsi="Arial Narrow"/>
          <w:b/>
          <w:bCs/>
        </w:rPr>
        <w:t>How can I maximize my parsonage allowance?</w:t>
      </w:r>
    </w:p>
    <w:p w14:paraId="234D3A48" w14:textId="77777777" w:rsidR="00A17D19" w:rsidRPr="004C2EB3" w:rsidRDefault="00A17D19" w:rsidP="00192A02">
      <w:pPr>
        <w:rPr>
          <w:rFonts w:ascii="Arial Narrow" w:hAnsi="Arial Narrow"/>
        </w:rPr>
      </w:pPr>
    </w:p>
    <w:p w14:paraId="64C1A669" w14:textId="54E62FE1" w:rsidR="00125E5F" w:rsidRDefault="00125E5F" w:rsidP="00192A02">
      <w:pPr>
        <w:rPr>
          <w:rFonts w:ascii="Arial Narrow" w:hAnsi="Arial Narrow"/>
        </w:rPr>
      </w:pPr>
      <w:r w:rsidRPr="004C2EB3">
        <w:rPr>
          <w:rFonts w:ascii="Arial Narrow" w:hAnsi="Arial Narrow"/>
        </w:rPr>
        <w:t xml:space="preserve">Spend money on your home! According to information provided to us, you </w:t>
      </w:r>
      <w:r w:rsidRPr="004C2EB3">
        <w:rPr>
          <w:rFonts w:ascii="Arial Narrow" w:hAnsi="Arial Narrow"/>
          <w:u w:val="single"/>
        </w:rPr>
        <w:t>cannot</w:t>
      </w:r>
      <w:r w:rsidRPr="004C2EB3">
        <w:rPr>
          <w:rFonts w:ascii="Arial Narrow" w:hAnsi="Arial Narrow"/>
        </w:rPr>
        <w:t>:</w:t>
      </w:r>
    </w:p>
    <w:p w14:paraId="1DC79ECF" w14:textId="77777777" w:rsidR="00CA4708" w:rsidRPr="004C2EB3" w:rsidRDefault="00CA4708" w:rsidP="00192A02">
      <w:pPr>
        <w:rPr>
          <w:rFonts w:ascii="Arial Narrow" w:hAnsi="Arial Narrow"/>
        </w:rPr>
      </w:pPr>
    </w:p>
    <w:p w14:paraId="7419E435" w14:textId="0E243D66" w:rsidR="00125E5F" w:rsidRDefault="00125E5F" w:rsidP="006C5CC3">
      <w:pPr>
        <w:pStyle w:val="a"/>
        <w:numPr>
          <w:ilvl w:val="0"/>
          <w:numId w:val="4"/>
        </w:numPr>
        <w:tabs>
          <w:tab w:val="left" w:pos="-1440"/>
        </w:tabs>
        <w:rPr>
          <w:rFonts w:ascii="Arial Narrow" w:hAnsi="Arial Narrow"/>
        </w:rPr>
      </w:pPr>
      <w:r w:rsidRPr="004C2EB3">
        <w:rPr>
          <w:rFonts w:ascii="Arial Narrow" w:hAnsi="Arial Narrow"/>
        </w:rPr>
        <w:t xml:space="preserve">Use an estimated </w:t>
      </w:r>
      <w:r w:rsidR="006C5CC3" w:rsidRPr="004C2EB3">
        <w:rPr>
          <w:rFonts w:ascii="Arial Narrow" w:hAnsi="Arial Narrow"/>
        </w:rPr>
        <w:t>“</w:t>
      </w:r>
      <w:r w:rsidRPr="004C2EB3">
        <w:rPr>
          <w:rFonts w:ascii="Arial Narrow" w:hAnsi="Arial Narrow"/>
        </w:rPr>
        <w:t>fair rental value</w:t>
      </w:r>
      <w:r w:rsidR="006C5CC3" w:rsidRPr="004C2EB3">
        <w:rPr>
          <w:rFonts w:ascii="Arial Narrow" w:hAnsi="Arial Narrow"/>
        </w:rPr>
        <w:t>”</w:t>
      </w:r>
      <w:r w:rsidRPr="004C2EB3">
        <w:rPr>
          <w:rFonts w:ascii="Arial Narrow" w:hAnsi="Arial Narrow"/>
        </w:rPr>
        <w:t xml:space="preserve"> in lieu of actual </w:t>
      </w:r>
      <w:proofErr w:type="gramStart"/>
      <w:r w:rsidRPr="004C2EB3">
        <w:rPr>
          <w:rFonts w:ascii="Arial Narrow" w:hAnsi="Arial Narrow"/>
        </w:rPr>
        <w:t>expenses</w:t>
      </w:r>
      <w:proofErr w:type="gramEnd"/>
    </w:p>
    <w:p w14:paraId="1F542F80" w14:textId="77777777" w:rsidR="00CA4708" w:rsidRPr="004C2EB3" w:rsidRDefault="00CA4708" w:rsidP="00CA4708">
      <w:pPr>
        <w:pStyle w:val="a"/>
        <w:tabs>
          <w:tab w:val="left" w:pos="-1440"/>
        </w:tabs>
        <w:ind w:firstLine="0"/>
        <w:rPr>
          <w:rFonts w:ascii="Arial Narrow" w:hAnsi="Arial Narrow"/>
        </w:rPr>
      </w:pPr>
    </w:p>
    <w:p w14:paraId="2054ABD5" w14:textId="77777777" w:rsidR="00125E5F" w:rsidRPr="004C2EB3" w:rsidRDefault="00125E5F" w:rsidP="006C5CC3">
      <w:pPr>
        <w:pStyle w:val="a"/>
        <w:numPr>
          <w:ilvl w:val="0"/>
          <w:numId w:val="4"/>
        </w:numPr>
        <w:tabs>
          <w:tab w:val="left" w:pos="-1440"/>
        </w:tabs>
        <w:rPr>
          <w:rFonts w:ascii="Arial Narrow" w:hAnsi="Arial Narrow"/>
        </w:rPr>
      </w:pPr>
      <w:r w:rsidRPr="004C2EB3">
        <w:rPr>
          <w:rFonts w:ascii="Arial Narrow" w:hAnsi="Arial Narrow"/>
        </w:rPr>
        <w:t xml:space="preserve">Draw down a home equity line of credit merely for the purpose of paying back as a parsonage expense. </w:t>
      </w:r>
      <w:r w:rsidR="00D245EB" w:rsidRPr="004C2EB3">
        <w:rPr>
          <w:rFonts w:ascii="Arial Narrow" w:hAnsi="Arial Narrow"/>
        </w:rPr>
        <w:t>Generally,</w:t>
      </w:r>
      <w:r w:rsidRPr="004C2EB3">
        <w:rPr>
          <w:rFonts w:ascii="Arial Narrow" w:hAnsi="Arial Narrow"/>
        </w:rPr>
        <w:t xml:space="preserve"> a home equity line of credit should be used for actual housing expenses to qualify for the exclusion. See a tax advisor on this item.</w:t>
      </w:r>
    </w:p>
    <w:p w14:paraId="6B50D77A" w14:textId="77777777" w:rsidR="00814251" w:rsidRPr="004C2EB3" w:rsidRDefault="00814251">
      <w:pPr>
        <w:pStyle w:val="Level1"/>
        <w:tabs>
          <w:tab w:val="left" w:pos="-1440"/>
          <w:tab w:val="num" w:pos="720"/>
        </w:tabs>
        <w:rPr>
          <w:rFonts w:ascii="Arial Narrow" w:hAnsi="Arial Narrow"/>
        </w:rPr>
      </w:pPr>
    </w:p>
    <w:p w14:paraId="17676001" w14:textId="77777777" w:rsidR="00125E5F" w:rsidRPr="004C2EB3" w:rsidRDefault="00125E5F">
      <w:pPr>
        <w:pStyle w:val="Level1"/>
        <w:tabs>
          <w:tab w:val="left" w:pos="-1440"/>
          <w:tab w:val="num" w:pos="720"/>
        </w:tabs>
        <w:rPr>
          <w:rFonts w:ascii="Arial Narrow" w:hAnsi="Arial Narrow"/>
          <w:b/>
          <w:bCs/>
        </w:rPr>
      </w:pPr>
      <w:r w:rsidRPr="004C2EB3">
        <w:rPr>
          <w:rFonts w:ascii="Arial Narrow" w:hAnsi="Arial Narrow"/>
          <w:b/>
          <w:bCs/>
        </w:rPr>
        <w:t>Is unused parsonage allowance taxable?</w:t>
      </w:r>
    </w:p>
    <w:p w14:paraId="73DAC36D" w14:textId="77777777" w:rsidR="00A17D19" w:rsidRPr="004C2EB3" w:rsidRDefault="00A17D19" w:rsidP="00192A02">
      <w:pPr>
        <w:rPr>
          <w:rFonts w:ascii="Arial Narrow" w:hAnsi="Arial Narrow"/>
        </w:rPr>
      </w:pPr>
    </w:p>
    <w:p w14:paraId="2A882E3A" w14:textId="77777777" w:rsidR="004F1EE5" w:rsidRPr="004C2EB3" w:rsidRDefault="00125E5F" w:rsidP="00192A02">
      <w:pPr>
        <w:rPr>
          <w:rFonts w:ascii="Arial Narrow" w:hAnsi="Arial Narrow"/>
        </w:rPr>
      </w:pPr>
      <w:r w:rsidRPr="004C2EB3">
        <w:rPr>
          <w:rFonts w:ascii="Arial Narrow" w:hAnsi="Arial Narrow"/>
        </w:rPr>
        <w:t xml:space="preserve">Yes, for income tax. </w:t>
      </w:r>
      <w:r w:rsidR="00A17D19" w:rsidRPr="004C2EB3">
        <w:rPr>
          <w:rFonts w:ascii="Arial Narrow" w:hAnsi="Arial Narrow"/>
        </w:rPr>
        <w:t>However,</w:t>
      </w:r>
      <w:r w:rsidR="004F1EE5" w:rsidRPr="004C2EB3">
        <w:rPr>
          <w:rFonts w:ascii="Arial Narrow" w:hAnsi="Arial Narrow"/>
        </w:rPr>
        <w:t xml:space="preserve"> it is not taxable for SECA (self-employment) purposes. </w:t>
      </w:r>
      <w:r w:rsidR="00814251" w:rsidRPr="004C2EB3">
        <w:rPr>
          <w:rFonts w:ascii="Arial Narrow" w:hAnsi="Arial Narrow"/>
        </w:rPr>
        <w:t>For a</w:t>
      </w:r>
      <w:r w:rsidR="00192A02" w:rsidRPr="004C2EB3">
        <w:rPr>
          <w:rFonts w:ascii="Arial Narrow" w:hAnsi="Arial Narrow"/>
        </w:rPr>
        <w:t xml:space="preserve"> </w:t>
      </w:r>
      <w:r w:rsidR="004F1EE5" w:rsidRPr="004C2EB3">
        <w:rPr>
          <w:rFonts w:ascii="Arial Narrow" w:hAnsi="Arial Narrow"/>
          <w:u w:val="single"/>
        </w:rPr>
        <w:t>retired minister</w:t>
      </w:r>
      <w:r w:rsidR="004F1EE5" w:rsidRPr="004C2EB3">
        <w:rPr>
          <w:rFonts w:ascii="Arial Narrow" w:hAnsi="Arial Narrow"/>
        </w:rPr>
        <w:t xml:space="preserve">, that portion of a pension paid from a denominational retirement plan is excluded under Code Section 107.  </w:t>
      </w:r>
    </w:p>
    <w:p w14:paraId="456223D6" w14:textId="77777777" w:rsidR="00814251" w:rsidRPr="004C2EB3" w:rsidRDefault="00814251">
      <w:pPr>
        <w:pStyle w:val="Level1"/>
        <w:tabs>
          <w:tab w:val="left" w:pos="-1440"/>
          <w:tab w:val="num" w:pos="720"/>
        </w:tabs>
        <w:rPr>
          <w:rFonts w:ascii="Arial Narrow" w:hAnsi="Arial Narrow"/>
        </w:rPr>
      </w:pPr>
    </w:p>
    <w:p w14:paraId="6105AE7E" w14:textId="77777777" w:rsidR="00192A02" w:rsidRPr="004C2EB3" w:rsidRDefault="00192A02">
      <w:pPr>
        <w:pStyle w:val="Level1"/>
        <w:tabs>
          <w:tab w:val="left" w:pos="-1440"/>
          <w:tab w:val="num" w:pos="720"/>
        </w:tabs>
        <w:rPr>
          <w:rFonts w:ascii="Arial Narrow" w:hAnsi="Arial Narrow"/>
          <w:b/>
          <w:bCs/>
        </w:rPr>
      </w:pPr>
      <w:r w:rsidRPr="004C2EB3">
        <w:rPr>
          <w:rFonts w:ascii="Arial Narrow" w:hAnsi="Arial Narrow"/>
          <w:b/>
          <w:bCs/>
        </w:rPr>
        <w:t>I’m hired by the conference on a part-time stipend basis. Do I have to pay SECA?</w:t>
      </w:r>
    </w:p>
    <w:p w14:paraId="32040B3D" w14:textId="77777777" w:rsidR="00A17D19" w:rsidRPr="004C2EB3" w:rsidRDefault="00A17D19">
      <w:pPr>
        <w:pStyle w:val="Level1"/>
        <w:tabs>
          <w:tab w:val="left" w:pos="-1440"/>
          <w:tab w:val="num" w:pos="720"/>
        </w:tabs>
        <w:rPr>
          <w:rFonts w:ascii="Arial Narrow" w:hAnsi="Arial Narrow"/>
        </w:rPr>
      </w:pPr>
    </w:p>
    <w:p w14:paraId="602FF97A" w14:textId="77777777" w:rsidR="00192A02" w:rsidRPr="004C2EB3" w:rsidRDefault="00192A02">
      <w:pPr>
        <w:pStyle w:val="Level1"/>
        <w:tabs>
          <w:tab w:val="left" w:pos="-1440"/>
          <w:tab w:val="num" w:pos="720"/>
        </w:tabs>
        <w:rPr>
          <w:rFonts w:ascii="Arial Narrow" w:hAnsi="Arial Narrow"/>
        </w:rPr>
      </w:pPr>
      <w:r w:rsidRPr="004C2EB3">
        <w:rPr>
          <w:rFonts w:ascii="Arial Narrow" w:hAnsi="Arial Narrow"/>
        </w:rPr>
        <w:t>Yes. A stipend is merely another word for wages. There is no relief for post-retirement employment.</w:t>
      </w:r>
    </w:p>
    <w:p w14:paraId="2B82A0C0" w14:textId="77777777" w:rsidR="00814251" w:rsidRPr="00FE24DC" w:rsidRDefault="00814251">
      <w:pPr>
        <w:pStyle w:val="Level1"/>
        <w:tabs>
          <w:tab w:val="left" w:pos="-1440"/>
          <w:tab w:val="num" w:pos="720"/>
        </w:tabs>
        <w:rPr>
          <w:rFonts w:ascii="Arial Narrow" w:hAnsi="Arial Narrow"/>
          <w:sz w:val="10"/>
          <w:szCs w:val="10"/>
        </w:rPr>
      </w:pPr>
    </w:p>
    <w:p w14:paraId="5EC5515A" w14:textId="669BDA62" w:rsidR="00814251" w:rsidRPr="00E85E74" w:rsidRDefault="00E85E74" w:rsidP="00E85E74">
      <w:pPr>
        <w:jc w:val="right"/>
        <w:rPr>
          <w:rFonts w:ascii="Arial Narrow" w:hAnsi="Arial Narrow"/>
          <w:sz w:val="20"/>
          <w:szCs w:val="20"/>
        </w:rPr>
      </w:pPr>
      <w:r w:rsidRPr="00E85E74">
        <w:rPr>
          <w:rFonts w:ascii="Arial Narrow" w:hAnsi="Arial Narrow"/>
          <w:sz w:val="20"/>
          <w:szCs w:val="20"/>
        </w:rPr>
        <w:t xml:space="preserve">Continued on the next </w:t>
      </w:r>
      <w:proofErr w:type="gramStart"/>
      <w:r w:rsidRPr="00E85E74">
        <w:rPr>
          <w:rFonts w:ascii="Arial Narrow" w:hAnsi="Arial Narrow"/>
          <w:sz w:val="20"/>
          <w:szCs w:val="20"/>
        </w:rPr>
        <w:t>page</w:t>
      </w:r>
      <w:proofErr w:type="gramEnd"/>
    </w:p>
    <w:p w14:paraId="596B0CF9" w14:textId="77777777" w:rsidR="004C2EB3" w:rsidRDefault="004C2EB3" w:rsidP="006F6FB2">
      <w:pPr>
        <w:rPr>
          <w:rFonts w:ascii="Arial Narrow" w:hAnsi="Arial Narrow"/>
          <w:b/>
          <w:bCs/>
        </w:rPr>
      </w:pPr>
    </w:p>
    <w:p w14:paraId="0893819E" w14:textId="3F235F05" w:rsidR="00EF4BAB" w:rsidRDefault="00EF4BAB" w:rsidP="006F6FB2">
      <w:pPr>
        <w:rPr>
          <w:rFonts w:ascii="Noto Sans" w:hAnsi="Noto Sans" w:cs="Noto Sans"/>
          <w:b/>
          <w:bCs/>
          <w:color w:val="4F81BD" w:themeColor="accent1"/>
          <w:sz w:val="32"/>
          <w:szCs w:val="32"/>
        </w:rPr>
      </w:pPr>
      <w:r>
        <w:rPr>
          <w:rFonts w:ascii="Noto Sans" w:hAnsi="Noto Sans" w:cs="Noto Sans"/>
          <w:b/>
          <w:bCs/>
          <w:noProof/>
          <w:color w:val="4F81BD" w:themeColor="accent1"/>
          <w:sz w:val="32"/>
          <w:szCs w:val="32"/>
        </w:rPr>
        <w:drawing>
          <wp:anchor distT="0" distB="0" distL="114300" distR="114300" simplePos="0" relativeHeight="251674624" behindDoc="1" locked="0" layoutInCell="1" allowOverlap="1" wp14:anchorId="543A801E" wp14:editId="7480BB0C">
            <wp:simplePos x="0" y="0"/>
            <wp:positionH relativeFrom="column">
              <wp:posOffset>0</wp:posOffset>
            </wp:positionH>
            <wp:positionV relativeFrom="paragraph">
              <wp:posOffset>257175</wp:posOffset>
            </wp:positionV>
            <wp:extent cx="886460" cy="886460"/>
            <wp:effectExtent l="0" t="0" r="0" b="0"/>
            <wp:wrapSquare wrapText="bothSides"/>
            <wp:docPr id="5" name="Graphic 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QAdSYu.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86460" cy="886460"/>
                    </a:xfrm>
                    <a:prstGeom prst="rect">
                      <a:avLst/>
                    </a:prstGeom>
                  </pic:spPr>
                </pic:pic>
              </a:graphicData>
            </a:graphic>
            <wp14:sizeRelH relativeFrom="page">
              <wp14:pctWidth>0</wp14:pctWidth>
            </wp14:sizeRelH>
            <wp14:sizeRelV relativeFrom="page">
              <wp14:pctHeight>0</wp14:pctHeight>
            </wp14:sizeRelV>
          </wp:anchor>
        </w:drawing>
      </w:r>
    </w:p>
    <w:p w14:paraId="0672B6A9" w14:textId="77777777" w:rsidR="00EF4BAB" w:rsidRDefault="00EF4BAB" w:rsidP="006F6FB2">
      <w:pPr>
        <w:rPr>
          <w:rFonts w:ascii="Noto Sans" w:hAnsi="Noto Sans" w:cs="Noto Sans"/>
          <w:b/>
          <w:bCs/>
          <w:color w:val="4F81BD" w:themeColor="accent1"/>
          <w:sz w:val="32"/>
          <w:szCs w:val="32"/>
        </w:rPr>
      </w:pPr>
    </w:p>
    <w:p w14:paraId="24B4D656" w14:textId="4B012845" w:rsidR="004C2EB3" w:rsidRPr="00F20942" w:rsidRDefault="004C2EB3" w:rsidP="006F6FB2">
      <w:pPr>
        <w:rPr>
          <w:rFonts w:ascii="Noto Sans" w:hAnsi="Noto Sans" w:cs="Noto Sans"/>
          <w:b/>
          <w:bCs/>
          <w:color w:val="4F81BD" w:themeColor="accent1"/>
          <w:sz w:val="32"/>
          <w:szCs w:val="32"/>
        </w:rPr>
      </w:pPr>
      <w:r w:rsidRPr="00F20942">
        <w:rPr>
          <w:rFonts w:ascii="Noto Sans" w:hAnsi="Noto Sans" w:cs="Noto Sans"/>
          <w:b/>
          <w:bCs/>
          <w:color w:val="4F81BD" w:themeColor="accent1"/>
          <w:sz w:val="32"/>
          <w:szCs w:val="32"/>
        </w:rPr>
        <w:t>Frequently Asked Questions continued…</w:t>
      </w:r>
    </w:p>
    <w:p w14:paraId="3DCBC75A" w14:textId="7C3AD5C5" w:rsidR="004C2EB3" w:rsidRPr="004B1193" w:rsidRDefault="004C2EB3" w:rsidP="006F6FB2">
      <w:pPr>
        <w:rPr>
          <w:rFonts w:ascii="Noto Sans" w:hAnsi="Noto Sans" w:cs="Noto Sans"/>
          <w:b/>
          <w:bCs/>
          <w:color w:val="0063AF"/>
        </w:rPr>
      </w:pPr>
    </w:p>
    <w:p w14:paraId="1158301E" w14:textId="77777777" w:rsidR="00EF4BAB" w:rsidRDefault="00EF4BAB" w:rsidP="00B41252">
      <w:pPr>
        <w:pStyle w:val="Level1"/>
        <w:tabs>
          <w:tab w:val="left" w:pos="-1440"/>
          <w:tab w:val="num" w:pos="0"/>
        </w:tabs>
        <w:ind w:left="0" w:firstLine="0"/>
        <w:rPr>
          <w:rFonts w:ascii="Arial Narrow" w:hAnsi="Arial Narrow"/>
          <w:b/>
          <w:bCs/>
        </w:rPr>
      </w:pPr>
    </w:p>
    <w:p w14:paraId="4B0FA0CA" w14:textId="7A57B218" w:rsidR="00B41252" w:rsidRPr="004C2EB3" w:rsidRDefault="00B41252" w:rsidP="00B41252">
      <w:pPr>
        <w:pStyle w:val="Level1"/>
        <w:tabs>
          <w:tab w:val="left" w:pos="-1440"/>
          <w:tab w:val="num" w:pos="0"/>
        </w:tabs>
        <w:ind w:left="0" w:firstLine="0"/>
        <w:rPr>
          <w:rFonts w:ascii="Arial Narrow" w:hAnsi="Arial Narrow"/>
          <w:b/>
          <w:bCs/>
        </w:rPr>
      </w:pPr>
      <w:r w:rsidRPr="004C2EB3">
        <w:rPr>
          <w:rFonts w:ascii="Arial Narrow" w:hAnsi="Arial Narrow"/>
          <w:b/>
          <w:bCs/>
        </w:rPr>
        <w:t>If my housing expenses exceed my denominational pension income, can I use extra parsonage expenses to reduce my tax from other income, such as interest income?</w:t>
      </w:r>
    </w:p>
    <w:p w14:paraId="31984478" w14:textId="77777777" w:rsidR="00B41252" w:rsidRDefault="00B41252" w:rsidP="00B41252">
      <w:pPr>
        <w:rPr>
          <w:rFonts w:ascii="Arial Narrow" w:hAnsi="Arial Narrow"/>
        </w:rPr>
      </w:pPr>
    </w:p>
    <w:p w14:paraId="39877654" w14:textId="1CD339FA" w:rsidR="00B41252" w:rsidRDefault="00B41252" w:rsidP="00B41252">
      <w:pPr>
        <w:rPr>
          <w:rFonts w:ascii="Arial Narrow" w:hAnsi="Arial Narrow"/>
        </w:rPr>
      </w:pPr>
      <w:r w:rsidRPr="004C2EB3">
        <w:rPr>
          <w:rFonts w:ascii="Arial Narrow" w:hAnsi="Arial Narrow"/>
        </w:rPr>
        <w:t xml:space="preserve">No. You can generally only use the exclusion to reduce income from </w:t>
      </w:r>
      <w:proofErr w:type="gramStart"/>
      <w:r w:rsidRPr="004C2EB3">
        <w:rPr>
          <w:rFonts w:ascii="Arial Narrow" w:hAnsi="Arial Narrow"/>
        </w:rPr>
        <w:t>ministry</w:t>
      </w:r>
      <w:proofErr w:type="gramEnd"/>
      <w:r w:rsidRPr="004C2EB3">
        <w:rPr>
          <w:rFonts w:ascii="Arial Narrow" w:hAnsi="Arial Narrow"/>
        </w:rPr>
        <w:t xml:space="preserve">.  </w:t>
      </w:r>
    </w:p>
    <w:p w14:paraId="6E63EDE8" w14:textId="77777777" w:rsidR="00B41252" w:rsidRPr="004C2EB3" w:rsidRDefault="00B41252" w:rsidP="00B41252">
      <w:pPr>
        <w:rPr>
          <w:rFonts w:ascii="Arial Narrow" w:hAnsi="Arial Narrow"/>
        </w:rPr>
      </w:pPr>
    </w:p>
    <w:p w14:paraId="52CEE567" w14:textId="5072DF25" w:rsidR="006F6FB2" w:rsidRPr="004C2EB3" w:rsidRDefault="006F6FB2" w:rsidP="006F6FB2">
      <w:pPr>
        <w:rPr>
          <w:rFonts w:ascii="Arial Narrow" w:hAnsi="Arial Narrow"/>
          <w:b/>
          <w:bCs/>
        </w:rPr>
      </w:pPr>
      <w:r w:rsidRPr="004C2EB3">
        <w:rPr>
          <w:rFonts w:ascii="Arial Narrow" w:hAnsi="Arial Narrow"/>
          <w:b/>
          <w:bCs/>
        </w:rPr>
        <w:t>If I pass away, is my spouse’s survivor benefit eligible for Parsonage Allowance Exclusion?</w:t>
      </w:r>
    </w:p>
    <w:p w14:paraId="664375FC" w14:textId="77777777" w:rsidR="007B3C9C" w:rsidRPr="004C2EB3" w:rsidRDefault="007B3C9C" w:rsidP="00192A02">
      <w:pPr>
        <w:rPr>
          <w:rFonts w:ascii="Arial Narrow" w:hAnsi="Arial Narrow"/>
        </w:rPr>
      </w:pPr>
    </w:p>
    <w:p w14:paraId="45122F05" w14:textId="77777777" w:rsidR="006F6FB2" w:rsidRPr="004C2EB3" w:rsidRDefault="006F6FB2" w:rsidP="00192A02">
      <w:pPr>
        <w:rPr>
          <w:rFonts w:ascii="Arial Narrow" w:hAnsi="Arial Narrow"/>
        </w:rPr>
      </w:pPr>
      <w:r w:rsidRPr="004C2EB3">
        <w:rPr>
          <w:rFonts w:ascii="Arial Narrow" w:hAnsi="Arial Narrow"/>
        </w:rPr>
        <w:t xml:space="preserve">No. The IRS considers </w:t>
      </w:r>
      <w:r w:rsidR="00903056" w:rsidRPr="004C2EB3">
        <w:rPr>
          <w:rFonts w:ascii="Arial Narrow" w:hAnsi="Arial Narrow"/>
        </w:rPr>
        <w:t>survivor benefits as</w:t>
      </w:r>
      <w:r w:rsidRPr="004C2EB3">
        <w:rPr>
          <w:rFonts w:ascii="Arial Narrow" w:hAnsi="Arial Narrow"/>
        </w:rPr>
        <w:t xml:space="preserve"> belong</w:t>
      </w:r>
      <w:r w:rsidR="00903056" w:rsidRPr="004C2EB3">
        <w:rPr>
          <w:rFonts w:ascii="Arial Narrow" w:hAnsi="Arial Narrow"/>
        </w:rPr>
        <w:t>ing</w:t>
      </w:r>
      <w:r w:rsidRPr="004C2EB3">
        <w:rPr>
          <w:rFonts w:ascii="Arial Narrow" w:hAnsi="Arial Narrow"/>
        </w:rPr>
        <w:t xml:space="preserve"> to the spouse who was not eligible</w:t>
      </w:r>
      <w:r w:rsidR="00765DE0" w:rsidRPr="004C2EB3">
        <w:rPr>
          <w:rFonts w:ascii="Arial Narrow" w:hAnsi="Arial Narrow"/>
        </w:rPr>
        <w:t xml:space="preserve"> for parsonage allowance exclusion</w:t>
      </w:r>
      <w:r w:rsidR="00903056" w:rsidRPr="004C2EB3">
        <w:rPr>
          <w:rFonts w:ascii="Arial Narrow" w:hAnsi="Arial Narrow"/>
        </w:rPr>
        <w:t xml:space="preserve"> regardless of how that benefit was earned.</w:t>
      </w:r>
      <w:r w:rsidR="00192A02" w:rsidRPr="004C2EB3">
        <w:rPr>
          <w:rFonts w:ascii="Arial Narrow" w:hAnsi="Arial Narrow"/>
        </w:rPr>
        <w:t xml:space="preserve"> Why? We don’t get it either, but </w:t>
      </w:r>
      <w:proofErr w:type="gramStart"/>
      <w:r w:rsidR="00192A02" w:rsidRPr="004C2EB3">
        <w:rPr>
          <w:rFonts w:ascii="Arial Narrow" w:hAnsi="Arial Narrow"/>
        </w:rPr>
        <w:t>IRS</w:t>
      </w:r>
      <w:proofErr w:type="gramEnd"/>
      <w:r w:rsidR="00192A02" w:rsidRPr="004C2EB3">
        <w:rPr>
          <w:rFonts w:ascii="Arial Narrow" w:hAnsi="Arial Narrow"/>
        </w:rPr>
        <w:t xml:space="preserve"> is quite clear on this. </w:t>
      </w:r>
    </w:p>
    <w:p w14:paraId="65A2B0ED" w14:textId="77777777" w:rsidR="00814251" w:rsidRPr="004C2EB3" w:rsidRDefault="00814251" w:rsidP="00A64169">
      <w:pPr>
        <w:rPr>
          <w:rFonts w:ascii="Arial Narrow" w:hAnsi="Arial Narrow"/>
        </w:rPr>
      </w:pPr>
    </w:p>
    <w:p w14:paraId="2D6A5355" w14:textId="4794E766" w:rsidR="00A64169" w:rsidRPr="004C2EB3" w:rsidRDefault="00A64169" w:rsidP="00A64169">
      <w:pPr>
        <w:rPr>
          <w:rFonts w:ascii="Arial Narrow" w:hAnsi="Arial Narrow"/>
          <w:b/>
          <w:bCs/>
        </w:rPr>
      </w:pPr>
      <w:r w:rsidRPr="004C2EB3">
        <w:rPr>
          <w:rFonts w:ascii="Arial Narrow" w:hAnsi="Arial Narrow"/>
          <w:b/>
          <w:bCs/>
        </w:rPr>
        <w:t>Can my withdrawal from a tax deferred investment such as an IRA, a Tax Deferred Annuity, or a</w:t>
      </w:r>
      <w:r w:rsidR="004C2EB3">
        <w:rPr>
          <w:rFonts w:ascii="Arial Narrow" w:hAnsi="Arial Narrow"/>
          <w:b/>
          <w:bCs/>
        </w:rPr>
        <w:t>n</w:t>
      </w:r>
      <w:r w:rsidRPr="004C2EB3">
        <w:rPr>
          <w:rFonts w:ascii="Arial Narrow" w:hAnsi="Arial Narrow"/>
          <w:b/>
          <w:bCs/>
        </w:rPr>
        <w:t xml:space="preserve"> Adventist Retirement Account be eligible for Parsonage Allowance Exclusion?</w:t>
      </w:r>
    </w:p>
    <w:p w14:paraId="630BB88C" w14:textId="77777777" w:rsidR="007B3C9C" w:rsidRPr="004C2EB3" w:rsidRDefault="007B3C9C" w:rsidP="00AF5C2B">
      <w:pPr>
        <w:rPr>
          <w:rFonts w:ascii="Arial Narrow" w:hAnsi="Arial Narrow"/>
        </w:rPr>
      </w:pPr>
    </w:p>
    <w:p w14:paraId="53B3B670" w14:textId="77777777" w:rsidR="00AF5C2B" w:rsidRPr="004C2EB3" w:rsidRDefault="00A64169" w:rsidP="00AF5C2B">
      <w:pPr>
        <w:rPr>
          <w:rFonts w:ascii="Arial Narrow" w:hAnsi="Arial Narrow"/>
        </w:rPr>
      </w:pPr>
      <w:r w:rsidRPr="004C2EB3">
        <w:rPr>
          <w:rFonts w:ascii="Arial Narrow" w:hAnsi="Arial Narrow"/>
        </w:rPr>
        <w:t>Our legal coun</w:t>
      </w:r>
      <w:r w:rsidR="009048A6" w:rsidRPr="004C2EB3">
        <w:rPr>
          <w:rFonts w:ascii="Arial Narrow" w:hAnsi="Arial Narrow"/>
        </w:rPr>
        <w:t>se</w:t>
      </w:r>
      <w:r w:rsidRPr="004C2EB3">
        <w:rPr>
          <w:rFonts w:ascii="Arial Narrow" w:hAnsi="Arial Narrow"/>
        </w:rPr>
        <w:t xml:space="preserve">l has advised us </w:t>
      </w:r>
      <w:r w:rsidR="009048A6" w:rsidRPr="004C2EB3">
        <w:rPr>
          <w:rFonts w:ascii="Arial Narrow" w:hAnsi="Arial Narrow"/>
        </w:rPr>
        <w:t xml:space="preserve">that only withdrawals from a church plan can be marked as required for parsonage allowance exclusion eligibility, that is, box 2a blank and 2b checked. </w:t>
      </w:r>
      <w:r w:rsidR="009A5166" w:rsidRPr="004C2EB3">
        <w:rPr>
          <w:rFonts w:ascii="Arial Narrow" w:hAnsi="Arial Narrow"/>
        </w:rPr>
        <w:t>Empower Retirement</w:t>
      </w:r>
      <w:r w:rsidR="00AF5C2B" w:rsidRPr="004C2EB3">
        <w:rPr>
          <w:rFonts w:ascii="Arial Narrow" w:hAnsi="Arial Narrow"/>
        </w:rPr>
        <w:t xml:space="preserve"> is our record-keeper for the church’s defined contribution retirement plan, and is authorized by us, the plan sponsor to mark the 1099-R’s in this way but only for withdrawals from the Adventist Plan. </w:t>
      </w:r>
      <w:r w:rsidR="007B3C9C" w:rsidRPr="004C2EB3">
        <w:rPr>
          <w:rFonts w:ascii="Arial Narrow" w:hAnsi="Arial Narrow"/>
        </w:rPr>
        <w:t>Thus,</w:t>
      </w:r>
      <w:r w:rsidR="00AF5C2B" w:rsidRPr="004C2EB3">
        <w:rPr>
          <w:rFonts w:ascii="Arial Narrow" w:hAnsi="Arial Narrow"/>
        </w:rPr>
        <w:t xml:space="preserve"> withdrawals from any annuity, IRA or other tax-deferred instrument will likely not be eligible for parsonage allowance exclusion. Even VALIC or Empower Retirement products are not eligible for the exclusion unless they are part of the Adventist Retirement Plan. </w:t>
      </w:r>
    </w:p>
    <w:p w14:paraId="306ACFE3" w14:textId="77777777" w:rsidR="00D245EB" w:rsidRPr="004C2EB3" w:rsidRDefault="00D245EB" w:rsidP="00AF5C2B">
      <w:pPr>
        <w:tabs>
          <w:tab w:val="center" w:pos="4680"/>
        </w:tabs>
        <w:rPr>
          <w:rFonts w:ascii="Arial Narrow" w:hAnsi="Arial Narrow"/>
          <w:b/>
          <w:bCs/>
        </w:rPr>
      </w:pPr>
    </w:p>
    <w:p w14:paraId="0CB61235" w14:textId="53E201E5" w:rsidR="00AF5C2B" w:rsidRDefault="00AF5C2B" w:rsidP="00AF5C2B">
      <w:pPr>
        <w:tabs>
          <w:tab w:val="center" w:pos="4680"/>
        </w:tabs>
        <w:rPr>
          <w:rFonts w:ascii="Arial Narrow" w:hAnsi="Arial Narrow"/>
          <w:b/>
          <w:bCs/>
        </w:rPr>
      </w:pPr>
      <w:r w:rsidRPr="004C2EB3">
        <w:rPr>
          <w:rFonts w:ascii="Arial Narrow" w:hAnsi="Arial Narrow"/>
          <w:b/>
          <w:bCs/>
        </w:rPr>
        <w:t xml:space="preserve">Note: This issue is complex and not all tax preparers will agree with our attorneys. We are not authorized to give tax advice. You may wish to consult your own tax preparer on the matter of Parsonage Allowance Exclusion for withdrawal from non-church plans. </w:t>
      </w:r>
    </w:p>
    <w:p w14:paraId="206F83C3" w14:textId="19655778" w:rsidR="004C2EB3" w:rsidRDefault="004C2EB3" w:rsidP="00AF5C2B">
      <w:pPr>
        <w:tabs>
          <w:tab w:val="center" w:pos="4680"/>
        </w:tabs>
        <w:rPr>
          <w:rFonts w:ascii="Arial Narrow" w:hAnsi="Arial Narrow"/>
          <w:b/>
          <w:bCs/>
        </w:rPr>
      </w:pPr>
    </w:p>
    <w:p w14:paraId="5FD96139" w14:textId="195E1638" w:rsidR="004C2EB3" w:rsidRDefault="004C2EB3" w:rsidP="00AF5C2B">
      <w:pPr>
        <w:tabs>
          <w:tab w:val="center" w:pos="4680"/>
        </w:tabs>
        <w:rPr>
          <w:rFonts w:ascii="Arial Narrow" w:hAnsi="Arial Narrow"/>
          <w:b/>
          <w:bCs/>
        </w:rPr>
      </w:pPr>
    </w:p>
    <w:p w14:paraId="46105CF1" w14:textId="7CCA52AD" w:rsidR="00F20942" w:rsidRDefault="00F20942" w:rsidP="00AF5C2B">
      <w:pPr>
        <w:tabs>
          <w:tab w:val="center" w:pos="4680"/>
        </w:tabs>
        <w:rPr>
          <w:rFonts w:ascii="Arial Narrow" w:hAnsi="Arial Narrow"/>
          <w:b/>
          <w:bCs/>
        </w:rPr>
      </w:pPr>
    </w:p>
    <w:p w14:paraId="78D2C1D6" w14:textId="44242F6E" w:rsidR="00F20942" w:rsidRDefault="00F20942" w:rsidP="00AF5C2B">
      <w:pPr>
        <w:tabs>
          <w:tab w:val="center" w:pos="4680"/>
        </w:tabs>
        <w:rPr>
          <w:rFonts w:ascii="Arial Narrow" w:hAnsi="Arial Narrow"/>
          <w:b/>
          <w:bCs/>
        </w:rPr>
      </w:pPr>
    </w:p>
    <w:p w14:paraId="4E4FAFCB" w14:textId="4D229AD9" w:rsidR="004C2EB3" w:rsidRDefault="004C2EB3" w:rsidP="00AF5C2B">
      <w:pPr>
        <w:tabs>
          <w:tab w:val="center" w:pos="4680"/>
        </w:tabs>
        <w:rPr>
          <w:rFonts w:ascii="Arial Narrow" w:hAnsi="Arial Narrow"/>
          <w:b/>
          <w:bCs/>
        </w:rPr>
      </w:pPr>
    </w:p>
    <w:p w14:paraId="095184CF" w14:textId="701CCB4C" w:rsidR="004B1193" w:rsidRDefault="004B1193" w:rsidP="00AF5C2B">
      <w:pPr>
        <w:tabs>
          <w:tab w:val="center" w:pos="4680"/>
        </w:tabs>
        <w:rPr>
          <w:rFonts w:ascii="Arial Narrow" w:hAnsi="Arial Narrow"/>
          <w:b/>
          <w:bCs/>
        </w:rPr>
      </w:pPr>
    </w:p>
    <w:p w14:paraId="3D1EAF63" w14:textId="3823BB5B" w:rsidR="004C2EB3" w:rsidRDefault="004C2EB3" w:rsidP="00AF5C2B">
      <w:pPr>
        <w:tabs>
          <w:tab w:val="center" w:pos="4680"/>
        </w:tabs>
        <w:rPr>
          <w:rFonts w:ascii="Arial Narrow" w:hAnsi="Arial Narrow"/>
          <w:b/>
          <w:bCs/>
        </w:rPr>
      </w:pPr>
    </w:p>
    <w:p w14:paraId="464DA132" w14:textId="3B3C655B" w:rsidR="004C2EB3" w:rsidRPr="004C2EB3" w:rsidRDefault="004B1193" w:rsidP="004C2EB3">
      <w:pPr>
        <w:tabs>
          <w:tab w:val="center" w:pos="4680"/>
        </w:tabs>
        <w:jc w:val="center"/>
        <w:rPr>
          <w:rFonts w:ascii="Arial Narrow" w:hAnsi="Arial Narrow"/>
          <w:b/>
          <w:bCs/>
        </w:rPr>
      </w:pPr>
      <w:r>
        <w:rPr>
          <w:rFonts w:ascii="Arial Narrow" w:hAnsi="Arial Narrow"/>
          <w:b/>
          <w:bCs/>
          <w:noProof/>
        </w:rPr>
        <mc:AlternateContent>
          <mc:Choice Requires="wps">
            <w:drawing>
              <wp:anchor distT="0" distB="0" distL="114300" distR="114300" simplePos="0" relativeHeight="251669504" behindDoc="0" locked="0" layoutInCell="1" allowOverlap="1" wp14:anchorId="0DF51111" wp14:editId="6A2BD62E">
                <wp:simplePos x="0" y="0"/>
                <wp:positionH relativeFrom="column">
                  <wp:posOffset>508000</wp:posOffset>
                </wp:positionH>
                <wp:positionV relativeFrom="paragraph">
                  <wp:posOffset>895119</wp:posOffset>
                </wp:positionV>
                <wp:extent cx="4876800" cy="1062182"/>
                <wp:effectExtent l="0" t="0" r="0" b="0"/>
                <wp:wrapNone/>
                <wp:docPr id="8" name="Text Box 8"/>
                <wp:cNvGraphicFramePr/>
                <a:graphic xmlns:a="http://schemas.openxmlformats.org/drawingml/2006/main">
                  <a:graphicData uri="http://schemas.microsoft.com/office/word/2010/wordprocessingShape">
                    <wps:wsp>
                      <wps:cNvSpPr txBox="1"/>
                      <wps:spPr>
                        <a:xfrm>
                          <a:off x="0" y="0"/>
                          <a:ext cx="4876800" cy="1062182"/>
                        </a:xfrm>
                        <a:prstGeom prst="rect">
                          <a:avLst/>
                        </a:prstGeom>
                        <a:noFill/>
                        <a:ln w="6350">
                          <a:noFill/>
                        </a:ln>
                      </wps:spPr>
                      <wps:txbx>
                        <w:txbxContent>
                          <w:p w14:paraId="400DE5DD" w14:textId="19292D7C" w:rsidR="004B1193" w:rsidRDefault="004B1193">
                            <w:r>
                              <w:rPr>
                                <w:rFonts w:ascii="Arial Narrow" w:hAnsi="Arial Narrow"/>
                                <w:b/>
                                <w:bCs/>
                                <w:noProof/>
                              </w:rPr>
                              <w:drawing>
                                <wp:inline distT="0" distB="0" distL="0" distR="0" wp14:anchorId="5BC2B142" wp14:editId="2DF035B7">
                                  <wp:extent cx="4622800" cy="9134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longtransitional_logo_dept_NAD_wide_cmyk.pdf"/>
                                          <pic:cNvPicPr/>
                                        </pic:nvPicPr>
                                        <pic:blipFill>
                                          <a:blip r:embed="rId11">
                                            <a:extLst>
                                              <a:ext uri="{28A0092B-C50C-407E-A947-70E740481C1C}">
                                                <a14:useLocalDpi xmlns:a14="http://schemas.microsoft.com/office/drawing/2010/main" val="0"/>
                                              </a:ext>
                                            </a:extLst>
                                          </a:blip>
                                          <a:stretch>
                                            <a:fillRect/>
                                          </a:stretch>
                                        </pic:blipFill>
                                        <pic:spPr>
                                          <a:xfrm>
                                            <a:off x="0" y="0"/>
                                            <a:ext cx="4622800" cy="913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1111" id="Text Box 8" o:spid="_x0000_s1027" type="#_x0000_t202" style="position:absolute;left:0;text-align:left;margin-left:40pt;margin-top:70.5pt;width:384pt;height:8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" filled="f" stroked="f" strokeweight=".5pt">
                <v:textbox>
                  <w:txbxContent>
                    <w:p w14:paraId="400DE5DD" w14:textId="19292D7C" w:rsidR="004B1193" w:rsidRDefault="004B1193">
                      <w:r>
                        <w:rPr>
                          <w:rFonts w:ascii="Arial Narrow" w:hAnsi="Arial Narrow"/>
                          <w:b/>
                          <w:bCs/>
                          <w:noProof/>
                        </w:rPr>
                        <w:drawing>
                          <wp:inline distT="0" distB="0" distL="0" distR="0" wp14:anchorId="5BC2B142" wp14:editId="2DF035B7">
                            <wp:extent cx="4622800" cy="9134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longtransitional_logo_dept_NAD_wide_cmyk.pdf"/>
                                    <pic:cNvPicPr/>
                                  </pic:nvPicPr>
                                  <pic:blipFill>
                                    <a:blip r:embed="rId11">
                                      <a:extLst>
                                        <a:ext uri="{28A0092B-C50C-407E-A947-70E740481C1C}">
                                          <a14:useLocalDpi xmlns:a14="http://schemas.microsoft.com/office/drawing/2010/main" val="0"/>
                                        </a:ext>
                                      </a:extLst>
                                    </a:blip>
                                    <a:stretch>
                                      <a:fillRect/>
                                    </a:stretch>
                                  </pic:blipFill>
                                  <pic:spPr>
                                    <a:xfrm>
                                      <a:off x="0" y="0"/>
                                      <a:ext cx="4622800" cy="913487"/>
                                    </a:xfrm>
                                    <a:prstGeom prst="rect">
                                      <a:avLst/>
                                    </a:prstGeom>
                                  </pic:spPr>
                                </pic:pic>
                              </a:graphicData>
                            </a:graphic>
                          </wp:inline>
                        </w:drawing>
                      </w:r>
                    </w:p>
                  </w:txbxContent>
                </v:textbox>
              </v:shape>
            </w:pict>
          </mc:Fallback>
        </mc:AlternateContent>
      </w:r>
    </w:p>
    <w:sectPr w:rsidR="004C2EB3" w:rsidRPr="004C2EB3" w:rsidSect="00401B65">
      <w:headerReference w:type="default" r:id="rId12"/>
      <w:pgSz w:w="12240" w:h="15840"/>
      <w:pgMar w:top="1008" w:right="1440" w:bottom="1008" w:left="1440" w:header="446" w:footer="63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6184" w14:textId="77777777" w:rsidR="00401B65" w:rsidRDefault="00401B65">
      <w:r>
        <w:separator/>
      </w:r>
    </w:p>
  </w:endnote>
  <w:endnote w:type="continuationSeparator" w:id="0">
    <w:p w14:paraId="61EDECEF" w14:textId="77777777" w:rsidR="00401B65" w:rsidRDefault="0040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Lora">
    <w:altName w:val="Calibri"/>
    <w:charset w:val="00"/>
    <w:family w:val="auto"/>
    <w:pitch w:val="variable"/>
    <w:sig w:usb0="A00002F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0241" w14:textId="77777777" w:rsidR="00A64169" w:rsidRDefault="00A64169">
    <w:pPr>
      <w:spacing w:line="240" w:lineRule="exact"/>
    </w:pPr>
  </w:p>
  <w:p w14:paraId="00C84F5C" w14:textId="77777777" w:rsidR="00A64169" w:rsidRDefault="00A64169" w:rsidP="00B90A1D">
    <w:pPr>
      <w:tabs>
        <w:tab w:val="cente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1018" w14:textId="77777777" w:rsidR="00401B65" w:rsidRDefault="00401B65">
      <w:r>
        <w:separator/>
      </w:r>
    </w:p>
  </w:footnote>
  <w:footnote w:type="continuationSeparator" w:id="0">
    <w:p w14:paraId="1F3D0BEE" w14:textId="77777777" w:rsidR="00401B65" w:rsidRDefault="0040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9004" w14:textId="77777777" w:rsidR="00A64169" w:rsidRDefault="00A64169">
    <w:r>
      <w:rPr>
        <w:noProof/>
      </w:rPr>
      <mc:AlternateContent>
        <mc:Choice Requires="wps">
          <w:drawing>
            <wp:anchor distT="0" distB="0" distL="114300" distR="114300" simplePos="0" relativeHeight="251657728" behindDoc="1" locked="0" layoutInCell="0" allowOverlap="1" wp14:anchorId="4FAF1A81" wp14:editId="0B9898FD">
              <wp:simplePos x="0" y="0"/>
              <wp:positionH relativeFrom="margin">
                <wp:posOffset>0</wp:posOffset>
              </wp:positionH>
              <wp:positionV relativeFrom="margin">
                <wp:posOffset>0</wp:posOffset>
              </wp:positionV>
              <wp:extent cx="5943600" cy="9372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104A52" w14:textId="77777777" w:rsidR="00A64169" w:rsidRDefault="00A64169">
                          <w:pPr>
                            <w:rPr>
                              <w:sz w:val="140"/>
                              <w:szCs w:val="140"/>
                            </w:rPr>
                          </w:pPr>
                        </w:p>
                        <w:p w14:paraId="6F0003D4" w14:textId="77777777" w:rsidR="00A64169" w:rsidRDefault="00A64169">
                          <w:pPr>
                            <w:rPr>
                              <w:sz w:val="140"/>
                              <w:szCs w:val="140"/>
                            </w:rPr>
                          </w:pPr>
                        </w:p>
                        <w:p w14:paraId="6E9FC643" w14:textId="77777777" w:rsidR="00A64169" w:rsidRDefault="00A64169">
                          <w:pPr>
                            <w:rPr>
                              <w:sz w:val="140"/>
                              <w:szCs w:val="140"/>
                            </w:rPr>
                          </w:pPr>
                        </w:p>
                        <w:p w14:paraId="0285E810" w14:textId="77777777" w:rsidR="00A64169" w:rsidRDefault="00A64169">
                          <w:pPr>
                            <w:tabs>
                              <w:tab w:val="center" w:pos="4680"/>
                            </w:tabs>
                            <w:rPr>
                              <w:sz w:val="140"/>
                              <w:szCs w:val="140"/>
                            </w:rPr>
                          </w:pPr>
                          <w:r>
                            <w:rPr>
                              <w:sz w:val="140"/>
                              <w:szCs w:val="14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F1A81" id="Rectangle 1" o:spid="_x0000_s1028" style="position:absolute;margin-left:0;margin-top:0;width:468pt;height:7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" o:allowincell="f" filled="f" stroked="f" strokeweight="0">
              <v:textbox inset="0,0,0,0">
                <w:txbxContent>
                  <w:p w14:paraId="3F104A52" w14:textId="77777777" w:rsidR="00A64169" w:rsidRDefault="00A64169">
                    <w:pPr>
                      <w:rPr>
                        <w:sz w:val="140"/>
                        <w:szCs w:val="140"/>
                      </w:rPr>
                    </w:pPr>
                  </w:p>
                  <w:p w14:paraId="6F0003D4" w14:textId="77777777" w:rsidR="00A64169" w:rsidRDefault="00A64169">
                    <w:pPr>
                      <w:rPr>
                        <w:sz w:val="140"/>
                        <w:szCs w:val="140"/>
                      </w:rPr>
                    </w:pPr>
                  </w:p>
                  <w:p w14:paraId="6E9FC643" w14:textId="77777777" w:rsidR="00A64169" w:rsidRDefault="00A64169">
                    <w:pPr>
                      <w:rPr>
                        <w:sz w:val="140"/>
                        <w:szCs w:val="140"/>
                      </w:rPr>
                    </w:pPr>
                  </w:p>
                  <w:p w14:paraId="0285E810" w14:textId="77777777" w:rsidR="00A64169" w:rsidRDefault="00A64169">
                    <w:pPr>
                      <w:tabs>
                        <w:tab w:val="center" w:pos="4680"/>
                      </w:tabs>
                      <w:rPr>
                        <w:sz w:val="140"/>
                        <w:szCs w:val="140"/>
                      </w:rPr>
                    </w:pPr>
                    <w:r>
                      <w:rPr>
                        <w:sz w:val="140"/>
                        <w:szCs w:val="140"/>
                      </w:rPr>
                      <w:tab/>
                    </w:r>
                  </w:p>
                </w:txbxContent>
              </v:textbox>
              <w10:wrap anchorx="margin" anchory="margin"/>
            </v:rect>
          </w:pict>
        </mc:Fallback>
      </mc:AlternateContent>
    </w:r>
  </w:p>
  <w:p w14:paraId="0FFCB8B1" w14:textId="77777777" w:rsidR="00A64169" w:rsidRDefault="00A6416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5A0A84"/>
    <w:multiLevelType w:val="hybridMultilevel"/>
    <w:tmpl w:val="3DD6CED2"/>
    <w:lvl w:ilvl="0" w:tplc="04090001">
      <w:start w:val="1"/>
      <w:numFmt w:val="bullet"/>
      <w:lvlText w:val=""/>
      <w:lvlJc w:val="left"/>
      <w:pPr>
        <w:ind w:left="2160" w:hanging="360"/>
      </w:pPr>
      <w:rPr>
        <w:rFonts w:ascii="Symbol" w:hAnsi="Symbol" w:hint="default"/>
      </w:rPr>
    </w:lvl>
    <w:lvl w:ilvl="1" w:tplc="0932462E">
      <w:start w:val="1099"/>
      <w:numFmt w:val="bullet"/>
      <w:lvlText w:val=""/>
      <w:lvlJc w:val="left"/>
      <w:pPr>
        <w:ind w:left="3240" w:hanging="720"/>
      </w:pPr>
      <w:rPr>
        <w:rFonts w:ascii="WP MathA" w:eastAsia="Times New Roman" w:hAnsi="WP MathA"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EC4BAB"/>
    <w:multiLevelType w:val="hybridMultilevel"/>
    <w:tmpl w:val="4A8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D449F"/>
    <w:multiLevelType w:val="hybridMultilevel"/>
    <w:tmpl w:val="8B0CDC5C"/>
    <w:lvl w:ilvl="0" w:tplc="9D7AD28A">
      <w:start w:val="1"/>
      <w:numFmt w:val="bullet"/>
      <w:lvlText w:val=""/>
      <w:lvlJc w:val="left"/>
      <w:pPr>
        <w:ind w:left="720" w:hanging="360"/>
      </w:pPr>
      <w:rPr>
        <w:rFonts w:ascii="Symbol" w:hAnsi="Symbol" w:hint="default"/>
        <w:color w:val="0063A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B75B2"/>
    <w:multiLevelType w:val="hybridMultilevel"/>
    <w:tmpl w:val="3CA8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F35398"/>
    <w:multiLevelType w:val="hybridMultilevel"/>
    <w:tmpl w:val="75F0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010976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88687569">
    <w:abstractNumId w:val="1"/>
  </w:num>
  <w:num w:numId="3" w16cid:durableId="943150142">
    <w:abstractNumId w:val="5"/>
  </w:num>
  <w:num w:numId="4" w16cid:durableId="1108043624">
    <w:abstractNumId w:val="4"/>
  </w:num>
  <w:num w:numId="5" w16cid:durableId="2119328182">
    <w:abstractNumId w:val="2"/>
  </w:num>
  <w:num w:numId="6" w16cid:durableId="1472331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5F"/>
    <w:rsid w:val="000010D6"/>
    <w:rsid w:val="00025F7D"/>
    <w:rsid w:val="00045D9C"/>
    <w:rsid w:val="000575C6"/>
    <w:rsid w:val="00064C69"/>
    <w:rsid w:val="00096D44"/>
    <w:rsid w:val="000C02B5"/>
    <w:rsid w:val="000D2EC6"/>
    <w:rsid w:val="000D75A0"/>
    <w:rsid w:val="000D7741"/>
    <w:rsid w:val="00105A09"/>
    <w:rsid w:val="0010640D"/>
    <w:rsid w:val="00107893"/>
    <w:rsid w:val="00121A1A"/>
    <w:rsid w:val="00125E5F"/>
    <w:rsid w:val="001270AB"/>
    <w:rsid w:val="00132DBA"/>
    <w:rsid w:val="00144CA8"/>
    <w:rsid w:val="0016325A"/>
    <w:rsid w:val="00192A02"/>
    <w:rsid w:val="001C4F3A"/>
    <w:rsid w:val="001D18C9"/>
    <w:rsid w:val="001E7171"/>
    <w:rsid w:val="00206588"/>
    <w:rsid w:val="00220211"/>
    <w:rsid w:val="002B6BBA"/>
    <w:rsid w:val="002D3DB0"/>
    <w:rsid w:val="002E766A"/>
    <w:rsid w:val="002F1C6D"/>
    <w:rsid w:val="002F5D81"/>
    <w:rsid w:val="00313FE5"/>
    <w:rsid w:val="003338E0"/>
    <w:rsid w:val="00387F1C"/>
    <w:rsid w:val="00401B65"/>
    <w:rsid w:val="0041146A"/>
    <w:rsid w:val="00454BFE"/>
    <w:rsid w:val="00477895"/>
    <w:rsid w:val="004A2887"/>
    <w:rsid w:val="004B1193"/>
    <w:rsid w:val="004C2EB3"/>
    <w:rsid w:val="004F1EE5"/>
    <w:rsid w:val="00517CF0"/>
    <w:rsid w:val="005560B8"/>
    <w:rsid w:val="005A4239"/>
    <w:rsid w:val="005D3930"/>
    <w:rsid w:val="005F4542"/>
    <w:rsid w:val="00623482"/>
    <w:rsid w:val="0064551B"/>
    <w:rsid w:val="00667D2E"/>
    <w:rsid w:val="0067455E"/>
    <w:rsid w:val="006C5CC3"/>
    <w:rsid w:val="006D5280"/>
    <w:rsid w:val="006F06F1"/>
    <w:rsid w:val="006F6FB2"/>
    <w:rsid w:val="00727270"/>
    <w:rsid w:val="00732753"/>
    <w:rsid w:val="00762A2D"/>
    <w:rsid w:val="00765DE0"/>
    <w:rsid w:val="0077245C"/>
    <w:rsid w:val="007A0389"/>
    <w:rsid w:val="007B3C9C"/>
    <w:rsid w:val="007B5C70"/>
    <w:rsid w:val="007E3BBF"/>
    <w:rsid w:val="00801587"/>
    <w:rsid w:val="008073B7"/>
    <w:rsid w:val="00814251"/>
    <w:rsid w:val="00844382"/>
    <w:rsid w:val="008533B1"/>
    <w:rsid w:val="00856919"/>
    <w:rsid w:val="008C2B9D"/>
    <w:rsid w:val="008E7CEC"/>
    <w:rsid w:val="00903056"/>
    <w:rsid w:val="009048A6"/>
    <w:rsid w:val="00922B0A"/>
    <w:rsid w:val="00953A98"/>
    <w:rsid w:val="00957385"/>
    <w:rsid w:val="009900AD"/>
    <w:rsid w:val="009A5166"/>
    <w:rsid w:val="009A599F"/>
    <w:rsid w:val="009A6BCA"/>
    <w:rsid w:val="009C4F68"/>
    <w:rsid w:val="009E179C"/>
    <w:rsid w:val="009E78EC"/>
    <w:rsid w:val="00A17D19"/>
    <w:rsid w:val="00A2318C"/>
    <w:rsid w:val="00A64169"/>
    <w:rsid w:val="00A86A3C"/>
    <w:rsid w:val="00AA2502"/>
    <w:rsid w:val="00AC6806"/>
    <w:rsid w:val="00AF5C2B"/>
    <w:rsid w:val="00B32221"/>
    <w:rsid w:val="00B3243F"/>
    <w:rsid w:val="00B41252"/>
    <w:rsid w:val="00B52F75"/>
    <w:rsid w:val="00B76286"/>
    <w:rsid w:val="00B87128"/>
    <w:rsid w:val="00B87180"/>
    <w:rsid w:val="00B90A1D"/>
    <w:rsid w:val="00B91D6B"/>
    <w:rsid w:val="00BA3354"/>
    <w:rsid w:val="00BC3BB2"/>
    <w:rsid w:val="00BC6B3F"/>
    <w:rsid w:val="00BD0E2C"/>
    <w:rsid w:val="00BE4174"/>
    <w:rsid w:val="00C25AE6"/>
    <w:rsid w:val="00C446CB"/>
    <w:rsid w:val="00C50B17"/>
    <w:rsid w:val="00C63F44"/>
    <w:rsid w:val="00CA4708"/>
    <w:rsid w:val="00CD0559"/>
    <w:rsid w:val="00CD44EE"/>
    <w:rsid w:val="00CD5E5D"/>
    <w:rsid w:val="00CE11E2"/>
    <w:rsid w:val="00CF7953"/>
    <w:rsid w:val="00D245EB"/>
    <w:rsid w:val="00D96BD3"/>
    <w:rsid w:val="00DD2E57"/>
    <w:rsid w:val="00DE27F5"/>
    <w:rsid w:val="00DE7E3B"/>
    <w:rsid w:val="00DF10E2"/>
    <w:rsid w:val="00DF2D68"/>
    <w:rsid w:val="00E030EC"/>
    <w:rsid w:val="00E64828"/>
    <w:rsid w:val="00E71DF1"/>
    <w:rsid w:val="00E85E74"/>
    <w:rsid w:val="00EF43F4"/>
    <w:rsid w:val="00EF4BAB"/>
    <w:rsid w:val="00EF4F73"/>
    <w:rsid w:val="00F20942"/>
    <w:rsid w:val="00F4078C"/>
    <w:rsid w:val="00F436ED"/>
    <w:rsid w:val="00F5483B"/>
    <w:rsid w:val="00F65EFA"/>
    <w:rsid w:val="00F804A8"/>
    <w:rsid w:val="00FA6C83"/>
    <w:rsid w:val="00FC6BA1"/>
    <w:rsid w:val="00FD7D78"/>
    <w:rsid w:val="00FE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19D880"/>
  <w15:docId w15:val="{3F26AF8B-6335-4D78-91F0-71F922A5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93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3930"/>
  </w:style>
  <w:style w:type="paragraph" w:customStyle="1" w:styleId="a">
    <w:name w:val="_"/>
    <w:basedOn w:val="Normal"/>
    <w:rsid w:val="005D3930"/>
    <w:pPr>
      <w:ind w:left="1440" w:hanging="720"/>
    </w:pPr>
  </w:style>
  <w:style w:type="paragraph" w:customStyle="1" w:styleId="Level1">
    <w:name w:val="Level 1"/>
    <w:basedOn w:val="Normal"/>
    <w:rsid w:val="005D3930"/>
    <w:pPr>
      <w:ind w:left="720" w:hanging="720"/>
      <w:outlineLvl w:val="0"/>
    </w:pPr>
  </w:style>
  <w:style w:type="paragraph" w:styleId="BalloonText">
    <w:name w:val="Balloon Text"/>
    <w:basedOn w:val="Normal"/>
    <w:semiHidden/>
    <w:rsid w:val="00107893"/>
    <w:rPr>
      <w:rFonts w:ascii="Tahoma" w:hAnsi="Tahoma" w:cs="Tahoma"/>
      <w:sz w:val="16"/>
      <w:szCs w:val="16"/>
    </w:rPr>
  </w:style>
  <w:style w:type="paragraph" w:styleId="Header">
    <w:name w:val="header"/>
    <w:basedOn w:val="Normal"/>
    <w:rsid w:val="00B90A1D"/>
    <w:pPr>
      <w:tabs>
        <w:tab w:val="center" w:pos="4320"/>
        <w:tab w:val="right" w:pos="8640"/>
      </w:tabs>
    </w:pPr>
  </w:style>
  <w:style w:type="paragraph" w:styleId="Footer">
    <w:name w:val="footer"/>
    <w:basedOn w:val="Normal"/>
    <w:rsid w:val="00B90A1D"/>
    <w:pPr>
      <w:tabs>
        <w:tab w:val="center" w:pos="4320"/>
        <w:tab w:val="right" w:pos="8640"/>
      </w:tabs>
    </w:pPr>
  </w:style>
  <w:style w:type="table" w:styleId="TableGrid">
    <w:name w:val="Table Grid"/>
    <w:basedOn w:val="TableNormal"/>
    <w:rsid w:val="00DF2D6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F4"/>
    <w:pPr>
      <w:ind w:left="720"/>
      <w:contextualSpacing/>
    </w:pPr>
  </w:style>
  <w:style w:type="character" w:styleId="Hyperlink">
    <w:name w:val="Hyperlink"/>
    <w:basedOn w:val="DefaultParagraphFont"/>
    <w:unhideWhenUsed/>
    <w:rsid w:val="004C2EB3"/>
    <w:rPr>
      <w:color w:val="0000FF" w:themeColor="hyperlink"/>
      <w:u w:val="single"/>
    </w:rPr>
  </w:style>
  <w:style w:type="character" w:styleId="UnresolvedMention">
    <w:name w:val="Unresolved Mention"/>
    <w:basedOn w:val="DefaultParagraphFont"/>
    <w:uiPriority w:val="99"/>
    <w:semiHidden/>
    <w:unhideWhenUsed/>
    <w:rsid w:val="004C2EB3"/>
    <w:rPr>
      <w:color w:val="605E5C"/>
      <w:shd w:val="clear" w:color="auto" w:fill="E1DFDD"/>
    </w:rPr>
  </w:style>
  <w:style w:type="character" w:styleId="FollowedHyperlink">
    <w:name w:val="FollowedHyperlink"/>
    <w:basedOn w:val="DefaultParagraphFont"/>
    <w:semiHidden/>
    <w:unhideWhenUsed/>
    <w:rsid w:val="004C2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sv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Johnson</dc:creator>
  <cp:lastModifiedBy>Sherri</cp:lastModifiedBy>
  <cp:revision>2</cp:revision>
  <cp:lastPrinted>2020-01-13T19:35:00Z</cp:lastPrinted>
  <dcterms:created xsi:type="dcterms:W3CDTF">2024-01-23T23:45:00Z</dcterms:created>
  <dcterms:modified xsi:type="dcterms:W3CDTF">2024-01-23T23:45:00Z</dcterms:modified>
</cp:coreProperties>
</file>